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24" w:rsidRDefault="0065132B" w:rsidP="002453D1">
      <w:pPr>
        <w:pStyle w:val="berschrift1"/>
        <w:numPr>
          <w:ilvl w:val="0"/>
          <w:numId w:val="0"/>
        </w:numPr>
        <w:ind w:left="720"/>
      </w:pPr>
      <w:bookmarkStart w:id="0" w:name="_GoBack"/>
      <w:bookmarkEnd w:id="0"/>
      <w:r>
        <w:rPr>
          <w:noProof/>
        </w:rPr>
        <w:drawing>
          <wp:anchor distT="0" distB="0" distL="114300" distR="114300" simplePos="0" relativeHeight="251657728" behindDoc="1" locked="0" layoutInCell="0" allowOverlap="1" wp14:anchorId="4B6F21A1" wp14:editId="016A075E">
            <wp:simplePos x="0" y="0"/>
            <wp:positionH relativeFrom="column">
              <wp:posOffset>3086100</wp:posOffset>
            </wp:positionH>
            <wp:positionV relativeFrom="paragraph">
              <wp:posOffset>-587375</wp:posOffset>
            </wp:positionV>
            <wp:extent cx="2990215" cy="1002030"/>
            <wp:effectExtent l="0" t="0" r="635" b="7620"/>
            <wp:wrapNone/>
            <wp:docPr id="2" name="Grafik 1" descr="Logo des Deutschen Behindertenrates (in Kleinbuchstaben dbr mit blau gepunktetem Kreis dar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des Deutschen Behindertenrates (in Kleinbuchstaben dbr mit blau gepunktetem Kreis darü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215" cy="1002030"/>
                    </a:xfrm>
                    <a:prstGeom prst="rect">
                      <a:avLst/>
                    </a:prstGeom>
                    <a:noFill/>
                  </pic:spPr>
                </pic:pic>
              </a:graphicData>
            </a:graphic>
            <wp14:sizeRelH relativeFrom="page">
              <wp14:pctWidth>0</wp14:pctWidth>
            </wp14:sizeRelH>
            <wp14:sizeRelV relativeFrom="page">
              <wp14:pctHeight>0</wp14:pctHeight>
            </wp14:sizeRelV>
          </wp:anchor>
        </w:drawing>
      </w:r>
    </w:p>
    <w:p w:rsidR="00403324" w:rsidRDefault="00403324">
      <w:pPr>
        <w:pStyle w:val="Absender1"/>
        <w:spacing w:after="0"/>
        <w:ind w:right="-465" w:firstLine="6521"/>
      </w:pPr>
      <w:r>
        <w:t>Das Aktionsbündnis</w:t>
      </w:r>
    </w:p>
    <w:p w:rsidR="00403324" w:rsidRDefault="00403324">
      <w:pPr>
        <w:pStyle w:val="Absender1"/>
        <w:spacing w:after="0"/>
        <w:ind w:right="-465" w:firstLine="6521"/>
        <w:rPr>
          <w:sz w:val="18"/>
          <w:szCs w:val="18"/>
        </w:rPr>
      </w:pPr>
      <w:r>
        <w:rPr>
          <w:sz w:val="18"/>
          <w:szCs w:val="18"/>
        </w:rPr>
        <w:t>Deutscher Behindertenverbände</w:t>
      </w:r>
    </w:p>
    <w:p w:rsidR="00972C28" w:rsidRPr="00972C28" w:rsidRDefault="00624A1A" w:rsidP="005B6F9F">
      <w:pPr>
        <w:pStyle w:val="Titel"/>
        <w:spacing w:before="720" w:after="120"/>
        <w:contextualSpacing w:val="0"/>
        <w:jc w:val="center"/>
        <w:rPr>
          <w:szCs w:val="28"/>
        </w:rPr>
      </w:pPr>
      <w:r>
        <w:rPr>
          <w:szCs w:val="28"/>
        </w:rPr>
        <w:t>Forderungspapier des DBR</w:t>
      </w:r>
    </w:p>
    <w:p w:rsidR="00403324" w:rsidRDefault="00624A1A" w:rsidP="005B6F9F">
      <w:pPr>
        <w:pStyle w:val="Titel"/>
        <w:spacing w:after="600"/>
        <w:contextualSpacing w:val="0"/>
        <w:jc w:val="center"/>
        <w:rPr>
          <w:szCs w:val="28"/>
        </w:rPr>
      </w:pPr>
      <w:r>
        <w:rPr>
          <w:szCs w:val="28"/>
        </w:rPr>
        <w:t>Allgemeines Gleichbehandlungsgesetz im Interesse von Menschen mit Behinderungen teilhabeorientiert weiterentwickeln</w:t>
      </w:r>
    </w:p>
    <w:p w:rsidR="00624A1A" w:rsidRDefault="00624A1A" w:rsidP="00624A1A">
      <w:r>
        <w:t xml:space="preserve">Der Koalitionsvertrag von CDU, CSU und SPD </w:t>
      </w:r>
      <w:r w:rsidR="001D2892">
        <w:t xml:space="preserve">2018 </w:t>
      </w:r>
      <w:r w:rsidR="007F410A">
        <w:t>sieht</w:t>
      </w:r>
      <w:r w:rsidR="001D2892">
        <w:t xml:space="preserve"> </w:t>
      </w:r>
      <w:r>
        <w:t>eine Reform des Allgemeinen Gleichbehandlungsgesetzes (AGG) vor.</w:t>
      </w:r>
      <w:r w:rsidR="007A25A9">
        <w:rPr>
          <w:rStyle w:val="Funotenzeichen"/>
        </w:rPr>
        <w:footnoteReference w:id="1"/>
      </w:r>
      <w:r>
        <w:t xml:space="preserve"> </w:t>
      </w:r>
      <w:r w:rsidR="001D2892">
        <w:t>Allerdings ist noch immer keine Umsetzung erfolgt.</w:t>
      </w:r>
      <w:r>
        <w:t xml:space="preserve"> </w:t>
      </w:r>
      <w:r w:rsidR="001D2892">
        <w:t>Der DBR fordert die AGG-Reform jetzt zügig anzugehen</w:t>
      </w:r>
      <w:r>
        <w:t xml:space="preserve">, um </w:t>
      </w:r>
      <w:r w:rsidR="00495046">
        <w:t xml:space="preserve">inklusive </w:t>
      </w:r>
      <w:r>
        <w:t xml:space="preserve">Teilhabe für Menschen mit Behinderungen auch im zivilrechtlichen Bereich </w:t>
      </w:r>
      <w:r w:rsidR="001D2892">
        <w:t>noch rechtzeitig vor Ende der Legislaturperiode</w:t>
      </w:r>
      <w:r w:rsidR="00AA21FF">
        <w:t xml:space="preserve"> </w:t>
      </w:r>
      <w:r>
        <w:t>spürbar zu verbessern.</w:t>
      </w:r>
    </w:p>
    <w:p w:rsidR="00624A1A" w:rsidRPr="00E64703" w:rsidRDefault="00624A1A" w:rsidP="00624A1A">
      <w:pPr>
        <w:pStyle w:val="berschrift2"/>
        <w:autoSpaceDE/>
        <w:autoSpaceDN/>
        <w:spacing w:before="240" w:after="240" w:line="276" w:lineRule="auto"/>
        <w:ind w:left="714" w:hanging="357"/>
      </w:pPr>
      <w:r w:rsidRPr="00E64703">
        <w:t>Barrierefreiheit voranbringen – stufenweise Umsetzung ermöglichen</w:t>
      </w:r>
    </w:p>
    <w:p w:rsidR="00EE4FC8" w:rsidRDefault="00EE4FC8" w:rsidP="00624A1A">
      <w:r>
        <w:t xml:space="preserve">Bei der Reform des Behindertengleichstellungsgesetzes </w:t>
      </w:r>
      <w:r w:rsidR="00495046">
        <w:t xml:space="preserve">des Bundes </w:t>
      </w:r>
      <w:r>
        <w:t>(BGG) 2016 wurde die</w:t>
      </w:r>
      <w:r w:rsidR="00495046">
        <w:t xml:space="preserve"> Verpflichtung zur</w:t>
      </w:r>
      <w:r w:rsidRPr="00EE4FC8">
        <w:t xml:space="preserve"> </w:t>
      </w:r>
      <w:r>
        <w:t xml:space="preserve">Barrierefreiheit im privatwirtschaftlichen Bereich nicht angegangen. </w:t>
      </w:r>
      <w:r w:rsidR="007A25A9">
        <w:t xml:space="preserve">Auch bei der Umsetzung der EU-Richtlinie über barrierefreie Websites (Richtlinie (EU) 2016/2102) wurde das Thema nicht </w:t>
      </w:r>
      <w:r w:rsidR="00D03A0E">
        <w:t>g</w:t>
      </w:r>
      <w:r w:rsidR="001D2892">
        <w:t xml:space="preserve">rundlegend </w:t>
      </w:r>
      <w:r w:rsidR="007A25A9">
        <w:t xml:space="preserve">angegangen. </w:t>
      </w:r>
      <w:r w:rsidR="001D2892">
        <w:t xml:space="preserve">Ob der deutsche Gesetzgeber die Chancen auf Verbesserungen durch den European </w:t>
      </w:r>
      <w:proofErr w:type="spellStart"/>
      <w:r w:rsidR="001D2892">
        <w:t>Accessibility</w:t>
      </w:r>
      <w:proofErr w:type="spellEnd"/>
      <w:r w:rsidR="001D2892">
        <w:t xml:space="preserve"> Act</w:t>
      </w:r>
      <w:r w:rsidR="007F410A">
        <w:rPr>
          <w:rStyle w:val="Funotenzeichen"/>
        </w:rPr>
        <w:footnoteReference w:id="2"/>
      </w:r>
      <w:r w:rsidR="001D2892">
        <w:t xml:space="preserve"> nutzt, ist noch nicht absehbar. D</w:t>
      </w:r>
      <w:r>
        <w:t xml:space="preserve">er DBR fordert die notwendigen Weiterentwicklungen </w:t>
      </w:r>
      <w:r w:rsidR="00C854E5">
        <w:t xml:space="preserve">jetzt mit </w:t>
      </w:r>
      <w:r w:rsidR="001D2892">
        <w:t xml:space="preserve">einer </w:t>
      </w:r>
      <w:r w:rsidR="00C854E5">
        <w:t xml:space="preserve">AGG-Reform </w:t>
      </w:r>
      <w:r>
        <w:t>ein.</w:t>
      </w:r>
    </w:p>
    <w:p w:rsidR="00624A1A" w:rsidRPr="00637E43" w:rsidRDefault="00624A1A" w:rsidP="00624A1A">
      <w:r>
        <w:t xml:space="preserve">Die </w:t>
      </w:r>
      <w:r w:rsidRPr="00637E43">
        <w:t>Träger öffentlicher Gewalt sind</w:t>
      </w:r>
      <w:r>
        <w:t xml:space="preserve"> – im Gegensatz zu privaten Unternehmen </w:t>
      </w:r>
      <w:r w:rsidR="00410F87">
        <w:t xml:space="preserve">und Organisationen (im </w:t>
      </w:r>
      <w:r w:rsidR="007A25A9">
        <w:t>Folgenden</w:t>
      </w:r>
      <w:r w:rsidR="00410F87">
        <w:t xml:space="preserve">: private Anbieter) </w:t>
      </w:r>
      <w:r>
        <w:t xml:space="preserve">– </w:t>
      </w:r>
      <w:r w:rsidRPr="00637E43">
        <w:t xml:space="preserve">nach </w:t>
      </w:r>
      <w:r>
        <w:t xml:space="preserve">dem </w:t>
      </w:r>
      <w:r w:rsidRPr="00637E43">
        <w:t xml:space="preserve">BGG </w:t>
      </w:r>
      <w:r>
        <w:t xml:space="preserve">bereits </w:t>
      </w:r>
      <w:r w:rsidRPr="00637E43">
        <w:t xml:space="preserve">zur </w:t>
      </w:r>
      <w:r>
        <w:t xml:space="preserve">Herstellung von </w:t>
      </w:r>
      <w:r w:rsidRPr="00637E43">
        <w:t>Barrierefreiheit verpflichtet</w:t>
      </w:r>
      <w:r w:rsidR="007F410A">
        <w:rPr>
          <w:rStyle w:val="Funotenzeichen"/>
        </w:rPr>
        <w:footnoteReference w:id="3"/>
      </w:r>
      <w:r w:rsidRPr="00637E43">
        <w:t xml:space="preserve">. </w:t>
      </w:r>
      <w:r>
        <w:t>Ob Güter</w:t>
      </w:r>
      <w:r w:rsidRPr="00637E43">
        <w:t xml:space="preserve"> und Dienstleistungen </w:t>
      </w:r>
      <w:r>
        <w:t xml:space="preserve">von </w:t>
      </w:r>
      <w:r w:rsidRPr="00637E43">
        <w:t xml:space="preserve">privaten </w:t>
      </w:r>
      <w:r w:rsidR="00410F87">
        <w:t xml:space="preserve">Anbietern </w:t>
      </w:r>
      <w:r>
        <w:t>oder von</w:t>
      </w:r>
      <w:r w:rsidRPr="00637E43">
        <w:t xml:space="preserve"> öffentlichen </w:t>
      </w:r>
      <w:r>
        <w:t>Trägern angeboten</w:t>
      </w:r>
      <w:r w:rsidRPr="00637E43">
        <w:t xml:space="preserve"> </w:t>
      </w:r>
      <w:r>
        <w:t>werden, ist für die Menschen im Alltag jedoch oft kaum erkennbar und zweit</w:t>
      </w:r>
      <w:r w:rsidR="00D7440D">
        <w:t>-</w:t>
      </w:r>
      <w:proofErr w:type="spellStart"/>
      <w:r>
        <w:t>rangig</w:t>
      </w:r>
      <w:proofErr w:type="spellEnd"/>
      <w:r>
        <w:t xml:space="preserve"> – </w:t>
      </w:r>
      <w:r w:rsidR="00E16D2E">
        <w:t xml:space="preserve">um gleichberechtigt teilzuhaben, sind </w:t>
      </w:r>
      <w:r>
        <w:t xml:space="preserve">sie in jedem Fall auf Barrierefreiheit angewiesen. </w:t>
      </w:r>
      <w:r>
        <w:lastRenderedPageBreak/>
        <w:t xml:space="preserve">Zu Recht lehnt daher auch </w:t>
      </w:r>
      <w:r w:rsidR="00E16D2E">
        <w:t xml:space="preserve">die </w:t>
      </w:r>
      <w:r>
        <w:t>UN-Behindertenrechtskonvention eine Unterscheidung zwischen privaten und öffentlichen Anbietern ab</w:t>
      </w:r>
      <w:r w:rsidR="00E16D2E">
        <w:t>;</w:t>
      </w:r>
      <w:r>
        <w:t xml:space="preserve"> </w:t>
      </w:r>
      <w:r w:rsidR="00E16D2E">
        <w:t>der UN-</w:t>
      </w:r>
      <w:r w:rsidR="00E16D2E" w:rsidRPr="00637E43">
        <w:t xml:space="preserve">Fachausschuss </w:t>
      </w:r>
      <w:r w:rsidR="00E16D2E">
        <w:t>hat die</w:t>
      </w:r>
      <w:r w:rsidR="00A71373">
        <w:t>s</w:t>
      </w:r>
      <w:r w:rsidR="00E16D2E">
        <w:t xml:space="preserve"> mehrfach bekräftigt </w:t>
      </w:r>
      <w:r w:rsidRPr="00637E43">
        <w:rPr>
          <w:i/>
          <w:iCs/>
        </w:rPr>
        <w:t>(„…</w:t>
      </w:r>
      <w:proofErr w:type="spellStart"/>
      <w:r w:rsidRPr="00637E43">
        <w:rPr>
          <w:i/>
          <w:iCs/>
        </w:rPr>
        <w:t>goods</w:t>
      </w:r>
      <w:proofErr w:type="spellEnd"/>
      <w:r w:rsidRPr="00637E43">
        <w:rPr>
          <w:i/>
          <w:iCs/>
        </w:rPr>
        <w:t xml:space="preserve">, </w:t>
      </w:r>
      <w:proofErr w:type="spellStart"/>
      <w:r w:rsidRPr="00637E43">
        <w:rPr>
          <w:i/>
          <w:iCs/>
        </w:rPr>
        <w:t>products</w:t>
      </w:r>
      <w:proofErr w:type="spellEnd"/>
      <w:r w:rsidRPr="00637E43">
        <w:rPr>
          <w:i/>
          <w:iCs/>
        </w:rPr>
        <w:t xml:space="preserve"> </w:t>
      </w:r>
      <w:proofErr w:type="spellStart"/>
      <w:r w:rsidRPr="00637E43">
        <w:rPr>
          <w:i/>
          <w:iCs/>
        </w:rPr>
        <w:t>and</w:t>
      </w:r>
      <w:proofErr w:type="spellEnd"/>
      <w:r w:rsidRPr="00637E43">
        <w:rPr>
          <w:i/>
          <w:iCs/>
        </w:rPr>
        <w:t xml:space="preserve"> </w:t>
      </w:r>
      <w:proofErr w:type="spellStart"/>
      <w:r w:rsidRPr="00637E43">
        <w:rPr>
          <w:i/>
          <w:iCs/>
        </w:rPr>
        <w:t>services</w:t>
      </w:r>
      <w:proofErr w:type="spellEnd"/>
      <w:r w:rsidRPr="00637E43">
        <w:rPr>
          <w:i/>
          <w:iCs/>
        </w:rPr>
        <w:t xml:space="preserve"> […] must </w:t>
      </w:r>
      <w:proofErr w:type="spellStart"/>
      <w:r w:rsidRPr="00637E43">
        <w:rPr>
          <w:i/>
          <w:iCs/>
        </w:rPr>
        <w:t>be</w:t>
      </w:r>
      <w:proofErr w:type="spellEnd"/>
      <w:r w:rsidRPr="00637E43">
        <w:rPr>
          <w:i/>
          <w:iCs/>
        </w:rPr>
        <w:t xml:space="preserve"> </w:t>
      </w:r>
      <w:proofErr w:type="spellStart"/>
      <w:r w:rsidRPr="00637E43">
        <w:rPr>
          <w:i/>
          <w:iCs/>
        </w:rPr>
        <w:t>accessible</w:t>
      </w:r>
      <w:proofErr w:type="spellEnd"/>
      <w:r w:rsidRPr="00637E43">
        <w:rPr>
          <w:i/>
          <w:iCs/>
        </w:rPr>
        <w:t xml:space="preserve"> </w:t>
      </w:r>
      <w:proofErr w:type="spellStart"/>
      <w:r w:rsidRPr="00637E43">
        <w:rPr>
          <w:i/>
          <w:iCs/>
        </w:rPr>
        <w:t>to</w:t>
      </w:r>
      <w:proofErr w:type="spellEnd"/>
      <w:r w:rsidRPr="00637E43">
        <w:rPr>
          <w:i/>
          <w:iCs/>
        </w:rPr>
        <w:t xml:space="preserve"> all, </w:t>
      </w:r>
      <w:proofErr w:type="spellStart"/>
      <w:r w:rsidRPr="00637E43">
        <w:rPr>
          <w:i/>
          <w:iCs/>
        </w:rPr>
        <w:t>regardless</w:t>
      </w:r>
      <w:proofErr w:type="spellEnd"/>
      <w:r w:rsidRPr="00637E43">
        <w:rPr>
          <w:i/>
          <w:iCs/>
        </w:rPr>
        <w:t xml:space="preserve"> </w:t>
      </w:r>
      <w:proofErr w:type="spellStart"/>
      <w:r w:rsidRPr="00637E43">
        <w:rPr>
          <w:i/>
          <w:iCs/>
        </w:rPr>
        <w:t>of</w:t>
      </w:r>
      <w:proofErr w:type="spellEnd"/>
      <w:r w:rsidRPr="00637E43">
        <w:rPr>
          <w:i/>
          <w:iCs/>
        </w:rPr>
        <w:t xml:space="preserve"> </w:t>
      </w:r>
      <w:proofErr w:type="spellStart"/>
      <w:r w:rsidRPr="00637E43">
        <w:rPr>
          <w:i/>
          <w:iCs/>
        </w:rPr>
        <w:t>wether</w:t>
      </w:r>
      <w:proofErr w:type="spellEnd"/>
      <w:r w:rsidRPr="00637E43">
        <w:rPr>
          <w:i/>
          <w:iCs/>
        </w:rPr>
        <w:t xml:space="preserve"> </w:t>
      </w:r>
      <w:proofErr w:type="spellStart"/>
      <w:r w:rsidRPr="00637E43">
        <w:rPr>
          <w:i/>
          <w:iCs/>
        </w:rPr>
        <w:t>they</w:t>
      </w:r>
      <w:proofErr w:type="spellEnd"/>
      <w:r w:rsidRPr="00637E43">
        <w:rPr>
          <w:i/>
          <w:iCs/>
        </w:rPr>
        <w:t xml:space="preserve"> </w:t>
      </w:r>
      <w:proofErr w:type="spellStart"/>
      <w:r w:rsidRPr="00637E43">
        <w:rPr>
          <w:i/>
          <w:iCs/>
        </w:rPr>
        <w:t>are</w:t>
      </w:r>
      <w:proofErr w:type="spellEnd"/>
      <w:r w:rsidRPr="00637E43">
        <w:rPr>
          <w:i/>
          <w:iCs/>
        </w:rPr>
        <w:t xml:space="preserve"> </w:t>
      </w:r>
      <w:proofErr w:type="spellStart"/>
      <w:r w:rsidRPr="00637E43">
        <w:rPr>
          <w:i/>
          <w:iCs/>
        </w:rPr>
        <w:t>owned</w:t>
      </w:r>
      <w:proofErr w:type="spellEnd"/>
      <w:r w:rsidRPr="00637E43">
        <w:rPr>
          <w:i/>
          <w:iCs/>
        </w:rPr>
        <w:t xml:space="preserve"> </w:t>
      </w:r>
      <w:proofErr w:type="spellStart"/>
      <w:r w:rsidRPr="00637E43">
        <w:rPr>
          <w:i/>
          <w:iCs/>
        </w:rPr>
        <w:t>and</w:t>
      </w:r>
      <w:proofErr w:type="spellEnd"/>
      <w:r w:rsidRPr="00637E43">
        <w:rPr>
          <w:i/>
          <w:iCs/>
        </w:rPr>
        <w:t>/</w:t>
      </w:r>
      <w:proofErr w:type="spellStart"/>
      <w:r w:rsidRPr="00637E43">
        <w:rPr>
          <w:i/>
          <w:iCs/>
        </w:rPr>
        <w:t>or</w:t>
      </w:r>
      <w:proofErr w:type="spellEnd"/>
      <w:r w:rsidRPr="00637E43">
        <w:rPr>
          <w:i/>
          <w:iCs/>
        </w:rPr>
        <w:t xml:space="preserve"> </w:t>
      </w:r>
      <w:proofErr w:type="spellStart"/>
      <w:r w:rsidRPr="00637E43">
        <w:rPr>
          <w:i/>
          <w:iCs/>
        </w:rPr>
        <w:t>provided</w:t>
      </w:r>
      <w:proofErr w:type="spellEnd"/>
      <w:r w:rsidRPr="00637E43">
        <w:rPr>
          <w:i/>
          <w:iCs/>
        </w:rPr>
        <w:t xml:space="preserve"> </w:t>
      </w:r>
      <w:proofErr w:type="spellStart"/>
      <w:r w:rsidRPr="00637E43">
        <w:rPr>
          <w:i/>
          <w:iCs/>
        </w:rPr>
        <w:t>by</w:t>
      </w:r>
      <w:proofErr w:type="spellEnd"/>
      <w:r w:rsidRPr="00637E43">
        <w:rPr>
          <w:i/>
          <w:iCs/>
        </w:rPr>
        <w:t xml:space="preserve"> a </w:t>
      </w:r>
      <w:proofErr w:type="spellStart"/>
      <w:r w:rsidRPr="00637E43">
        <w:rPr>
          <w:i/>
          <w:iCs/>
        </w:rPr>
        <w:t>public</w:t>
      </w:r>
      <w:proofErr w:type="spellEnd"/>
      <w:r w:rsidRPr="00637E43">
        <w:rPr>
          <w:i/>
          <w:iCs/>
        </w:rPr>
        <w:t xml:space="preserve"> </w:t>
      </w:r>
      <w:proofErr w:type="spellStart"/>
      <w:r w:rsidRPr="00637E43">
        <w:rPr>
          <w:i/>
          <w:iCs/>
        </w:rPr>
        <w:t>authority</w:t>
      </w:r>
      <w:proofErr w:type="spellEnd"/>
      <w:r w:rsidRPr="00637E43">
        <w:rPr>
          <w:i/>
          <w:iCs/>
        </w:rPr>
        <w:t xml:space="preserve"> </w:t>
      </w:r>
      <w:proofErr w:type="spellStart"/>
      <w:r w:rsidRPr="00637E43">
        <w:rPr>
          <w:i/>
          <w:iCs/>
        </w:rPr>
        <w:t>or</w:t>
      </w:r>
      <w:proofErr w:type="spellEnd"/>
      <w:r w:rsidRPr="00637E43">
        <w:rPr>
          <w:i/>
          <w:iCs/>
        </w:rPr>
        <w:t xml:space="preserve"> a private </w:t>
      </w:r>
      <w:proofErr w:type="spellStart"/>
      <w:r w:rsidRPr="00637E43">
        <w:rPr>
          <w:i/>
          <w:iCs/>
        </w:rPr>
        <w:t>enterprise</w:t>
      </w:r>
      <w:proofErr w:type="spellEnd"/>
      <w:r w:rsidRPr="00637E43">
        <w:rPr>
          <w:i/>
          <w:iCs/>
        </w:rPr>
        <w:t>“</w:t>
      </w:r>
      <w:r w:rsidRPr="00637E43">
        <w:t>).</w:t>
      </w:r>
    </w:p>
    <w:p w:rsidR="00624A1A" w:rsidRPr="00637E43" w:rsidRDefault="00624A1A" w:rsidP="00624A1A">
      <w:r>
        <w:t>Der</w:t>
      </w:r>
      <w:r w:rsidRPr="00637E43">
        <w:t xml:space="preserve"> DBR erneu</w:t>
      </w:r>
      <w:r>
        <w:t>er</w:t>
      </w:r>
      <w:r w:rsidRPr="00637E43">
        <w:t xml:space="preserve">t </w:t>
      </w:r>
      <w:r>
        <w:t xml:space="preserve">daher </w:t>
      </w:r>
      <w:r w:rsidRPr="00637E43">
        <w:t>seine Forderung</w:t>
      </w:r>
      <w:r>
        <w:rPr>
          <w:rStyle w:val="Funotenzeichen"/>
        </w:rPr>
        <w:footnoteReference w:id="4"/>
      </w:r>
      <w:r w:rsidRPr="00637E43">
        <w:t>,</w:t>
      </w:r>
      <w:r>
        <w:t xml:space="preserve"> </w:t>
      </w:r>
      <w:r w:rsidRPr="00637E43">
        <w:rPr>
          <w:b/>
          <w:bCs/>
        </w:rPr>
        <w:t>private Anbieter von Gütern und Dienstleistungen</w:t>
      </w:r>
      <w:r w:rsidRPr="00637E43">
        <w:t xml:space="preserve">, die öffentlich angeboten werden, </w:t>
      </w:r>
      <w:r w:rsidR="00410F87">
        <w:t xml:space="preserve">zu verpflichten </w:t>
      </w:r>
      <w:r w:rsidR="00AE317B">
        <w:t xml:space="preserve">diese barrierefrei anzubieten </w:t>
      </w:r>
      <w:r w:rsidR="00410F87">
        <w:t>sowie</w:t>
      </w:r>
      <w:r w:rsidR="00AE317B">
        <w:t xml:space="preserve"> </w:t>
      </w:r>
      <w:r w:rsidRPr="00637E43">
        <w:t>Gebäude</w:t>
      </w:r>
      <w:r w:rsidR="00410F87">
        <w:t>, sonstige Anlagen, Informationsverarbeitung</w:t>
      </w:r>
      <w:r w:rsidR="00EE4FC8">
        <w:t>ssysteme,</w:t>
      </w:r>
      <w:r w:rsidR="00410F87">
        <w:t xml:space="preserve"> </w:t>
      </w:r>
      <w:r w:rsidR="00EE4FC8">
        <w:t>Informationsquellen und Kommunikations</w:t>
      </w:r>
      <w:r w:rsidR="00D03A0E">
        <w:t>-</w:t>
      </w:r>
      <w:r w:rsidR="00EE4FC8">
        <w:t>einrichtungen</w:t>
      </w:r>
      <w:r w:rsidR="00AE317B">
        <w:t xml:space="preserve"> barrierefrei zu gestalten</w:t>
      </w:r>
      <w:r w:rsidRPr="00637E43">
        <w:t xml:space="preserve">. </w:t>
      </w:r>
      <w:r>
        <w:t xml:space="preserve">Die gesetzliche Pflicht hierzu sollte </w:t>
      </w:r>
      <w:r w:rsidRPr="00637E43">
        <w:t xml:space="preserve">im </w:t>
      </w:r>
      <w:r>
        <w:t>AGG</w:t>
      </w:r>
      <w:r w:rsidRPr="00637E43">
        <w:t xml:space="preserve"> </w:t>
      </w:r>
      <w:r>
        <w:t>normiert werden. Zugleich ist die Missachtung dieser Pflicht als Benachteiligung (§ 3 AGG) zu definieren.</w:t>
      </w:r>
    </w:p>
    <w:p w:rsidR="00624A1A" w:rsidRPr="00637E43" w:rsidRDefault="00624A1A" w:rsidP="00624A1A">
      <w:r w:rsidRPr="00637E43">
        <w:t xml:space="preserve">Der DBR ist sich bewusst, dass die generelle </w:t>
      </w:r>
      <w:r>
        <w:t>Pflicht zur Barrierefreiheit private</w:t>
      </w:r>
      <w:r w:rsidRPr="00637E43">
        <w:t xml:space="preserve"> </w:t>
      </w:r>
      <w:r w:rsidR="007D7507">
        <w:t>Anbieter</w:t>
      </w:r>
      <w:r w:rsidR="007D7507" w:rsidRPr="00637E43">
        <w:t xml:space="preserve"> </w:t>
      </w:r>
      <w:r w:rsidRPr="00637E43">
        <w:t xml:space="preserve">vor Herausforderungen stellt. Daher befürwortet der DBR ein </w:t>
      </w:r>
      <w:r>
        <w:t>abgestuftes</w:t>
      </w:r>
      <w:r w:rsidRPr="00637E43">
        <w:t xml:space="preserve"> Konzept</w:t>
      </w:r>
      <w:r>
        <w:t xml:space="preserve">, das die </w:t>
      </w:r>
      <w:r w:rsidRPr="00637E43">
        <w:t>Anforderungen</w:t>
      </w:r>
      <w:r w:rsidRPr="008107D1">
        <w:t xml:space="preserve"> </w:t>
      </w:r>
      <w:r>
        <w:t xml:space="preserve">zur Umsetzung der </w:t>
      </w:r>
      <w:r w:rsidRPr="00637E43">
        <w:t xml:space="preserve">(abstrakten) </w:t>
      </w:r>
      <w:r>
        <w:t>Pflicht</w:t>
      </w:r>
      <w:r w:rsidRPr="00637E43">
        <w:t xml:space="preserve"> zur Barrierefreiheit </w:t>
      </w:r>
      <w:r>
        <w:t>konkretisiert:</w:t>
      </w:r>
    </w:p>
    <w:p w:rsidR="00624A1A" w:rsidRDefault="00624A1A" w:rsidP="00624A1A">
      <w:pPr>
        <w:pStyle w:val="Listenabsatz"/>
        <w:numPr>
          <w:ilvl w:val="0"/>
          <w:numId w:val="13"/>
        </w:numPr>
        <w:autoSpaceDE/>
        <w:autoSpaceDN/>
        <w:spacing w:before="0" w:after="200" w:line="276" w:lineRule="auto"/>
        <w:contextualSpacing/>
      </w:pPr>
      <w:r>
        <w:t>Bestehen</w:t>
      </w:r>
      <w:r w:rsidRPr="00637E43">
        <w:t xml:space="preserve"> </w:t>
      </w:r>
      <w:r w:rsidRPr="002312B6">
        <w:rPr>
          <w:b/>
          <w:bCs/>
        </w:rPr>
        <w:t xml:space="preserve">fachliche Standards </w:t>
      </w:r>
      <w:r w:rsidRPr="00637E43">
        <w:t xml:space="preserve">zur Barrierefreiheit, sind diese </w:t>
      </w:r>
      <w:r>
        <w:t>bei der</w:t>
      </w:r>
      <w:r w:rsidRPr="00637E43">
        <w:t xml:space="preserve"> Umsetzung </w:t>
      </w:r>
      <w:r>
        <w:t>von Barrierefreiheit verpflichtend zu beachten</w:t>
      </w:r>
      <w:r w:rsidRPr="00637E43">
        <w:t xml:space="preserve">. </w:t>
      </w:r>
      <w:r>
        <w:t>Solche bestehen z.</w:t>
      </w:r>
      <w:r w:rsidR="00D03A0E">
        <w:t xml:space="preserve"> </w:t>
      </w:r>
      <w:r>
        <w:t xml:space="preserve">B. bereits für den Baubereich als DIN-Normen. </w:t>
      </w:r>
      <w:r w:rsidRPr="00637E43">
        <w:t xml:space="preserve">Für den IT-Bereich </w:t>
      </w:r>
      <w:r>
        <w:t>existieren</w:t>
      </w:r>
      <w:r w:rsidRPr="00637E43">
        <w:t xml:space="preserve"> </w:t>
      </w:r>
      <w:r w:rsidR="00E16D2E">
        <w:t>u.</w:t>
      </w:r>
      <w:r w:rsidR="00D03A0E">
        <w:t xml:space="preserve"> </w:t>
      </w:r>
      <w:r w:rsidR="00E16D2E">
        <w:t xml:space="preserve">a. </w:t>
      </w:r>
      <w:r w:rsidRPr="00637E43">
        <w:t xml:space="preserve">Standards mit den Web Content </w:t>
      </w:r>
      <w:proofErr w:type="spellStart"/>
      <w:r w:rsidRPr="00637E43">
        <w:t>Accessibility</w:t>
      </w:r>
      <w:proofErr w:type="spellEnd"/>
      <w:r w:rsidRPr="00637E43">
        <w:t xml:space="preserve"> Guidelines (WCAG 2.</w:t>
      </w:r>
      <w:r w:rsidR="00E16D2E">
        <w:t>1</w:t>
      </w:r>
      <w:r w:rsidRPr="00637E43">
        <w:t>) sowie weiteren internationalen Ri</w:t>
      </w:r>
      <w:r>
        <w:t>chtlinien</w:t>
      </w:r>
      <w:r w:rsidRPr="00637E43">
        <w:t xml:space="preserve">. Hierauf </w:t>
      </w:r>
      <w:r>
        <w:t>müssen</w:t>
      </w:r>
      <w:r w:rsidRPr="00637E43">
        <w:t xml:space="preserve"> gesetzliche </w:t>
      </w:r>
      <w:r>
        <w:t>Pflichten aufbauen.</w:t>
      </w:r>
    </w:p>
    <w:p w:rsidR="00624A1A" w:rsidRDefault="00624A1A" w:rsidP="00624A1A">
      <w:pPr>
        <w:pStyle w:val="Listenabsatz"/>
        <w:numPr>
          <w:ilvl w:val="0"/>
          <w:numId w:val="13"/>
        </w:numPr>
        <w:autoSpaceDE/>
        <w:autoSpaceDN/>
        <w:spacing w:before="0" w:after="200" w:line="276" w:lineRule="auto"/>
        <w:contextualSpacing/>
      </w:pPr>
      <w:r w:rsidRPr="00637E43">
        <w:t>Soweit noch keine fachlichen Standards zur Barrierefreiheit bestehen, sollten Unternehmens</w:t>
      </w:r>
      <w:r w:rsidR="00D03A0E">
        <w:t>-</w:t>
      </w:r>
      <w:r w:rsidRPr="00637E43">
        <w:t xml:space="preserve">verbände </w:t>
      </w:r>
      <w:r w:rsidR="007D7507">
        <w:t xml:space="preserve">und </w:t>
      </w:r>
      <w:r w:rsidR="008F05E6">
        <w:t>andere Organisationsverbünde</w:t>
      </w:r>
      <w:r w:rsidR="007D7507">
        <w:t xml:space="preserve"> </w:t>
      </w:r>
      <w:r w:rsidRPr="00637E43">
        <w:t xml:space="preserve">auf </w:t>
      </w:r>
      <w:r>
        <w:t>deren</w:t>
      </w:r>
      <w:r w:rsidRPr="00637E43">
        <w:t xml:space="preserve"> Entwicklung und Einführung durch </w:t>
      </w:r>
      <w:r w:rsidRPr="002312B6">
        <w:rPr>
          <w:b/>
          <w:bCs/>
        </w:rPr>
        <w:t>Normungsinstitutionen</w:t>
      </w:r>
      <w:r>
        <w:t xml:space="preserve"> hinwirken</w:t>
      </w:r>
      <w:r w:rsidR="00507571">
        <w:t xml:space="preserve"> und hierfür verbindliche Fristen aufstellen</w:t>
      </w:r>
      <w:r w:rsidRPr="00637E43">
        <w:t xml:space="preserve">. </w:t>
      </w:r>
      <w:r>
        <w:t xml:space="preserve">Wichtig ist, dabei Menschen mit Behinderungen und ihre Verbände einzubeziehen. </w:t>
      </w:r>
      <w:r w:rsidRPr="008F05E6">
        <w:t xml:space="preserve">Auch die Fachstelle Barrierefreiheit </w:t>
      </w:r>
      <w:r w:rsidR="008F05E6">
        <w:t>sollte</w:t>
      </w:r>
      <w:r w:rsidR="008F05E6" w:rsidRPr="008F05E6">
        <w:t xml:space="preserve"> </w:t>
      </w:r>
      <w:r w:rsidR="008F05E6">
        <w:t>eingebunden werden</w:t>
      </w:r>
      <w:r w:rsidRPr="008F05E6">
        <w:t>.</w:t>
      </w:r>
    </w:p>
    <w:p w:rsidR="00624A1A" w:rsidRDefault="00624A1A" w:rsidP="00624A1A">
      <w:pPr>
        <w:pStyle w:val="Listenabsatz"/>
        <w:numPr>
          <w:ilvl w:val="0"/>
          <w:numId w:val="13"/>
        </w:numPr>
        <w:autoSpaceDE/>
        <w:autoSpaceDN/>
        <w:spacing w:before="0" w:after="200" w:line="276" w:lineRule="auto"/>
        <w:contextualSpacing/>
      </w:pPr>
      <w:r w:rsidRPr="00637E43">
        <w:t xml:space="preserve">Soweit fachliche Standards </w:t>
      </w:r>
      <w:r>
        <w:t>noch nicht vorliegen</w:t>
      </w:r>
      <w:r w:rsidRPr="00637E43">
        <w:t>, soll</w:t>
      </w:r>
      <w:r>
        <w:t>t</w:t>
      </w:r>
      <w:r w:rsidRPr="00637E43">
        <w:t xml:space="preserve">en private Anbieter </w:t>
      </w:r>
      <w:r>
        <w:t xml:space="preserve">in </w:t>
      </w:r>
      <w:r w:rsidRPr="006368C3">
        <w:rPr>
          <w:b/>
          <w:bCs/>
        </w:rPr>
        <w:t xml:space="preserve">Zielvereinbarungen </w:t>
      </w:r>
      <w:r w:rsidRPr="00637E43">
        <w:t xml:space="preserve">mit Verbänden </w:t>
      </w:r>
      <w:r>
        <w:t>verbindlich festlegen</w:t>
      </w:r>
      <w:r w:rsidRPr="00637E43">
        <w:t>, wie sie Barrierefreiheit für sich konkret umsetzen</w:t>
      </w:r>
      <w:r>
        <w:t xml:space="preserve"> werden</w:t>
      </w:r>
      <w:r w:rsidRPr="00637E43">
        <w:t xml:space="preserve">. </w:t>
      </w:r>
      <w:r>
        <w:t xml:space="preserve">§ 5 BGG sollte insoweit </w:t>
      </w:r>
      <w:r w:rsidR="007D7507">
        <w:t xml:space="preserve">mit dem </w:t>
      </w:r>
      <w:r>
        <w:t xml:space="preserve">AGG </w:t>
      </w:r>
      <w:r w:rsidR="007D7507">
        <w:t xml:space="preserve">verknüpft </w:t>
      </w:r>
      <w:r>
        <w:t>werden.</w:t>
      </w:r>
      <w:r w:rsidR="00AE317B">
        <w:t xml:space="preserve"> Der Abschluss von Zielvereinbarungen </w:t>
      </w:r>
      <w:r w:rsidR="007D7507">
        <w:t>sollte</w:t>
      </w:r>
      <w:r w:rsidR="00AE317B">
        <w:t xml:space="preserve"> </w:t>
      </w:r>
      <w:r w:rsidR="008F05E6">
        <w:t xml:space="preserve">immer </w:t>
      </w:r>
      <w:r w:rsidR="00AE317B">
        <w:t xml:space="preserve">dann für </w:t>
      </w:r>
      <w:r w:rsidR="007D7507">
        <w:t>private Anbieter</w:t>
      </w:r>
      <w:r w:rsidR="00AE317B">
        <w:t xml:space="preserve"> verpflichtend</w:t>
      </w:r>
      <w:r w:rsidR="007D7507">
        <w:t xml:space="preserve"> sein</w:t>
      </w:r>
      <w:r w:rsidR="00AE317B">
        <w:t xml:space="preserve">, soweit sie </w:t>
      </w:r>
      <w:r w:rsidR="008F05E6">
        <w:t xml:space="preserve">auf </w:t>
      </w:r>
      <w:r w:rsidR="00AE317B">
        <w:t>angemessene Vorkehrungen</w:t>
      </w:r>
      <w:r w:rsidR="001754D9">
        <w:t xml:space="preserve"> </w:t>
      </w:r>
      <w:r w:rsidR="008F05E6">
        <w:t>abzielen</w:t>
      </w:r>
      <w:r w:rsidR="00801682" w:rsidRPr="00801682">
        <w:t>, die vorhersehbar für eine Vielzahl von Einzelfällen Barrieren abbauen sollen</w:t>
      </w:r>
      <w:r w:rsidR="00E16D2E">
        <w:t>. Im Sinne der UN-Behindertenrechtskonvention sind angemessene Vorkehrungen „notwendige und geeignete Änderungen und Anpassungen,</w:t>
      </w:r>
      <w:r w:rsidR="008F05E6">
        <w:t xml:space="preserve"> </w:t>
      </w:r>
      <w:r w:rsidR="00E16D2E">
        <w:t xml:space="preserve">die keine unverhältnismäßige und </w:t>
      </w:r>
      <w:r w:rsidR="008F05E6">
        <w:t>unbillig</w:t>
      </w:r>
      <w:r w:rsidR="00E16D2E">
        <w:t>e</w:t>
      </w:r>
      <w:r w:rsidR="008F05E6">
        <w:t xml:space="preserve"> </w:t>
      </w:r>
      <w:r w:rsidR="00E16D2E">
        <w:t>Belastung darstellen und die, wenn sie in einem bestimmten Fall erforderlich sind, vorgenommen werden, um zu gewährleisten, dass Menschen mit Behinderungen gleichberechtigt mit anderen alle Menschenrechte […] ausüben können“ (vgl. hierzu auch nachfolgender Abschnitt)</w:t>
      </w:r>
      <w:r w:rsidR="00AE317B">
        <w:t xml:space="preserve">. </w:t>
      </w:r>
      <w:r w:rsidR="001754D9">
        <w:t xml:space="preserve">Die Verweigerung einer </w:t>
      </w:r>
      <w:r w:rsidR="008F05E6">
        <w:t xml:space="preserve">solchen </w:t>
      </w:r>
      <w:r w:rsidR="001754D9">
        <w:t>Zielvereinbarung</w:t>
      </w:r>
      <w:r w:rsidR="004D44B9">
        <w:t>, insbesondere</w:t>
      </w:r>
      <w:r w:rsidR="00507571">
        <w:t xml:space="preserve"> </w:t>
      </w:r>
      <w:r w:rsidR="00507571" w:rsidRPr="004D44B9">
        <w:t>zu</w:t>
      </w:r>
      <w:r w:rsidR="001754D9" w:rsidRPr="004D44B9">
        <w:t xml:space="preserve"> angemessene</w:t>
      </w:r>
      <w:r w:rsidR="008F05E6" w:rsidRPr="004D44B9">
        <w:t>n</w:t>
      </w:r>
      <w:r w:rsidR="001754D9" w:rsidRPr="004D44B9">
        <w:t xml:space="preserve"> Vorkehrungen</w:t>
      </w:r>
      <w:r w:rsidR="004D44B9" w:rsidRPr="004D44B9">
        <w:t>,</w:t>
      </w:r>
      <w:r w:rsidR="001754D9" w:rsidRPr="004D44B9">
        <w:t xml:space="preserve"> </w:t>
      </w:r>
      <w:r w:rsidR="008F05E6">
        <w:t>sollte zugleich als</w:t>
      </w:r>
      <w:r w:rsidR="001754D9">
        <w:t xml:space="preserve"> </w:t>
      </w:r>
      <w:r w:rsidR="00612144">
        <w:t xml:space="preserve">Indiz für eine </w:t>
      </w:r>
      <w:r w:rsidR="001754D9">
        <w:t>Benachteiligung im Sinne des AGG</w:t>
      </w:r>
      <w:r w:rsidR="008F05E6">
        <w:t xml:space="preserve"> anerkannt werden</w:t>
      </w:r>
      <w:r w:rsidR="00A77DBA">
        <w:t>.</w:t>
      </w:r>
    </w:p>
    <w:p w:rsidR="00B37253" w:rsidRDefault="00B37253">
      <w:pPr>
        <w:autoSpaceDE/>
        <w:autoSpaceDN/>
        <w:spacing w:before="0" w:after="0" w:line="240" w:lineRule="auto"/>
        <w:jc w:val="left"/>
      </w:pPr>
      <w:r>
        <w:br w:type="page"/>
      </w:r>
    </w:p>
    <w:p w:rsidR="008F05E6" w:rsidRDefault="00624A1A" w:rsidP="00624A1A">
      <w:pPr>
        <w:pStyle w:val="Listenabsatz"/>
        <w:numPr>
          <w:ilvl w:val="0"/>
          <w:numId w:val="13"/>
        </w:numPr>
        <w:autoSpaceDE/>
        <w:autoSpaceDN/>
        <w:spacing w:before="0" w:after="200" w:line="276" w:lineRule="auto"/>
        <w:contextualSpacing/>
      </w:pPr>
      <w:r>
        <w:lastRenderedPageBreak/>
        <w:t>In gleicher Weise können</w:t>
      </w:r>
      <w:r w:rsidRPr="00637E43">
        <w:t xml:space="preserve"> auch </w:t>
      </w:r>
      <w:r>
        <w:rPr>
          <w:b/>
          <w:bCs/>
        </w:rPr>
        <w:t>Inklusions</w:t>
      </w:r>
      <w:r w:rsidRPr="009D405F">
        <w:rPr>
          <w:b/>
          <w:bCs/>
        </w:rPr>
        <w:t xml:space="preserve">vereinbarungen </w:t>
      </w:r>
      <w:r w:rsidRPr="00637E43">
        <w:t xml:space="preserve">nach § </w:t>
      </w:r>
      <w:r>
        <w:t>166</w:t>
      </w:r>
      <w:r w:rsidRPr="00637E43">
        <w:t xml:space="preserve"> SGB IX </w:t>
      </w:r>
      <w:r>
        <w:t xml:space="preserve">zu mehr </w:t>
      </w:r>
      <w:r w:rsidRPr="00637E43">
        <w:t xml:space="preserve">Barrierefreiheit </w:t>
      </w:r>
      <w:r>
        <w:t>genutzt werden</w:t>
      </w:r>
      <w:r w:rsidRPr="00637E43">
        <w:t xml:space="preserve">. Denn Arbeitsplätze für behinderte Arbeitnehmer/-innen sind oft auch Orte, an denen private </w:t>
      </w:r>
      <w:r w:rsidR="00000B4D">
        <w:t>Anbieter</w:t>
      </w:r>
      <w:r w:rsidR="00000B4D" w:rsidRPr="00637E43">
        <w:t xml:space="preserve"> </w:t>
      </w:r>
      <w:r w:rsidRPr="00637E43">
        <w:t xml:space="preserve">Waren und Dienstleistungen öffentlich anbieten. </w:t>
      </w:r>
      <w:r>
        <w:t xml:space="preserve">An den Vereinbarungen </w:t>
      </w:r>
      <w:r w:rsidRPr="00637E43">
        <w:t xml:space="preserve">zur Barrierefreiheit </w:t>
      </w:r>
      <w:r>
        <w:t xml:space="preserve">sollten dann jedoch </w:t>
      </w:r>
      <w:r w:rsidRPr="00637E43">
        <w:t>nicht nur Arbeitgeber und Schwerbehindertenvertretung</w:t>
      </w:r>
      <w:r>
        <w:t>en</w:t>
      </w:r>
      <w:r w:rsidRPr="00637E43">
        <w:t xml:space="preserve"> </w:t>
      </w:r>
      <w:r>
        <w:t>arbeiten</w:t>
      </w:r>
      <w:r w:rsidRPr="00637E43">
        <w:t xml:space="preserve">, sondern </w:t>
      </w:r>
      <w:r>
        <w:t xml:space="preserve">auch </w:t>
      </w:r>
      <w:r w:rsidRPr="00637E43">
        <w:t xml:space="preserve">Verbände behinderter Menschen </w:t>
      </w:r>
      <w:r>
        <w:t>einbezogen sein.</w:t>
      </w:r>
      <w:r w:rsidR="00000B4D">
        <w:t xml:space="preserve"> Auch die – einzelfallbezogenen </w:t>
      </w:r>
      <w:r w:rsidR="004C75E6">
        <w:t>–</w:t>
      </w:r>
      <w:r w:rsidR="00000B4D">
        <w:t xml:space="preserve"> Arbeitgeberpflichten nach § 164 SGB IX sollten zu mehr genereller Barrierefreiheit beitragen.</w:t>
      </w:r>
    </w:p>
    <w:p w:rsidR="00624A1A" w:rsidRDefault="00000B4D" w:rsidP="00624A1A">
      <w:pPr>
        <w:pStyle w:val="Listenabsatz"/>
        <w:numPr>
          <w:ilvl w:val="0"/>
          <w:numId w:val="13"/>
        </w:numPr>
        <w:autoSpaceDE/>
        <w:autoSpaceDN/>
        <w:spacing w:before="0" w:after="200" w:line="276" w:lineRule="auto"/>
        <w:contextualSpacing/>
      </w:pPr>
      <w:r>
        <w:t>Nicht zuletzt könn</w:t>
      </w:r>
      <w:r w:rsidR="00661FFF">
        <w:t>t</w:t>
      </w:r>
      <w:r>
        <w:t xml:space="preserve">en auch Ergebnisse eines </w:t>
      </w:r>
      <w:r w:rsidRPr="00077F8A">
        <w:rPr>
          <w:b/>
        </w:rPr>
        <w:t>Schlichtungsverfahrens</w:t>
      </w:r>
      <w:r>
        <w:t xml:space="preserve"> nach § 16 BGG die Pflicht zur Barrierefreiheit konkretisieren. </w:t>
      </w:r>
      <w:r w:rsidR="00661FFF">
        <w:t>Dafür muss jedoch die Zuständigkeit der Schlichtungsstelle auf private Anbieter ausgeweitet werden;</w:t>
      </w:r>
      <w:r w:rsidR="008F05E6">
        <w:t xml:space="preserve"> Schlichtungsverfahren </w:t>
      </w:r>
      <w:r w:rsidR="00661FFF">
        <w:t>nach dem</w:t>
      </w:r>
      <w:r w:rsidR="008F05E6">
        <w:t xml:space="preserve"> BGG </w:t>
      </w:r>
      <w:r w:rsidR="00661FFF">
        <w:t>sollten</w:t>
      </w:r>
      <w:r w:rsidR="008F05E6">
        <w:t xml:space="preserve"> </w:t>
      </w:r>
      <w:r w:rsidR="00661FFF">
        <w:t>sich auch auf</w:t>
      </w:r>
      <w:r w:rsidR="008F05E6">
        <w:t xml:space="preserve"> </w:t>
      </w:r>
      <w:r w:rsidR="00661FFF">
        <w:t>die Schaffung</w:t>
      </w:r>
      <w:r w:rsidR="008F05E6">
        <w:t xml:space="preserve"> angemessener Vorkehrungen durch Private </w:t>
      </w:r>
      <w:r w:rsidR="00661FFF">
        <w:t>beziehen können</w:t>
      </w:r>
      <w:r w:rsidR="00801682">
        <w:t>; § 16 BGG sollte insoweit mit dem AGG verknüpft werden.</w:t>
      </w:r>
    </w:p>
    <w:p w:rsidR="00624A1A" w:rsidRPr="006842C6" w:rsidRDefault="00624A1A" w:rsidP="00624A1A">
      <w:r>
        <w:t>Zugleich muss das AGG Anreize setzen, um das o.</w:t>
      </w:r>
      <w:r w:rsidR="004C75E6">
        <w:t xml:space="preserve"> </w:t>
      </w:r>
      <w:r>
        <w:t>g. Konzept zu verwirklichen. Hierfür</w:t>
      </w:r>
      <w:r w:rsidRPr="006842C6">
        <w:t xml:space="preserve"> schlägt der DBR </w:t>
      </w:r>
      <w:r>
        <w:t xml:space="preserve">vor, dass es bereits </w:t>
      </w:r>
      <w:r w:rsidRPr="006842C6">
        <w:t>als Indiz</w:t>
      </w:r>
      <w:r>
        <w:t>ienbeweis</w:t>
      </w:r>
      <w:r w:rsidRPr="006842C6">
        <w:t xml:space="preserve"> nach § 22 AGG </w:t>
      </w:r>
      <w:r>
        <w:t xml:space="preserve">gilt, wenn private Anbieter </w:t>
      </w:r>
      <w:r w:rsidRPr="006842C6">
        <w:t xml:space="preserve">gegen branchenspezifische fachliche Standards bzw. gegen eine </w:t>
      </w:r>
      <w:r>
        <w:t xml:space="preserve">getroffene </w:t>
      </w:r>
      <w:r w:rsidRPr="006842C6">
        <w:t>Zielvereinbarung</w:t>
      </w:r>
      <w:r>
        <w:t xml:space="preserve"> vers</w:t>
      </w:r>
      <w:r w:rsidR="00661FFF">
        <w:t>toßen</w:t>
      </w:r>
      <w:r>
        <w:t>, aber auch</w:t>
      </w:r>
      <w:r w:rsidRPr="006842C6">
        <w:t xml:space="preserve"> </w:t>
      </w:r>
      <w:r>
        <w:t xml:space="preserve">wenn </w:t>
      </w:r>
      <w:r w:rsidR="00661FFF">
        <w:t xml:space="preserve">sie </w:t>
      </w:r>
      <w:r>
        <w:t>sich weiger</w:t>
      </w:r>
      <w:r w:rsidR="00661FFF">
        <w:t>n</w:t>
      </w:r>
      <w:r>
        <w:t>,</w:t>
      </w:r>
      <w:r w:rsidRPr="006842C6">
        <w:t xml:space="preserve"> Zielvereinbarungsverhandlungen nach § 5 BGG aufzunehmen </w:t>
      </w:r>
      <w:r>
        <w:t>bzw.</w:t>
      </w:r>
      <w:r w:rsidRPr="006842C6">
        <w:t xml:space="preserve"> </w:t>
      </w:r>
      <w:r w:rsidR="00B034BF">
        <w:t xml:space="preserve">diese </w:t>
      </w:r>
      <w:r w:rsidR="00D7440D">
        <w:t>– w</w:t>
      </w:r>
      <w:r w:rsidR="00661FFF">
        <w:t xml:space="preserve">enn </w:t>
      </w:r>
      <w:r w:rsidR="00B034BF">
        <w:t>sie</w:t>
      </w:r>
      <w:r w:rsidR="00661FFF">
        <w:t xml:space="preserve"> auf die Herstellung</w:t>
      </w:r>
      <w:r w:rsidR="001754D9">
        <w:t xml:space="preserve"> angemessene</w:t>
      </w:r>
      <w:r w:rsidR="00661FFF">
        <w:t>r</w:t>
      </w:r>
      <w:r w:rsidR="001754D9">
        <w:t xml:space="preserve"> Vorkehrungen </w:t>
      </w:r>
      <w:r w:rsidR="00B034BF">
        <w:t>gerichtet sind</w:t>
      </w:r>
      <w:r w:rsidR="00661FFF">
        <w:t xml:space="preserve"> </w:t>
      </w:r>
      <w:r w:rsidR="00D7440D">
        <w:t>–</w:t>
      </w:r>
      <w:r w:rsidR="00661FFF">
        <w:t xml:space="preserve"> </w:t>
      </w:r>
      <w:r w:rsidRPr="006842C6">
        <w:t>binnen einer festgelegten Frist abzuschließen</w:t>
      </w:r>
      <w:r w:rsidR="00B034BF">
        <w:t>, wenn private Anbieter Inklusionsvereinbarungen nicht umsetzen oder einen angenommenen Schlichtungsvorschlag nicht beachten. I</w:t>
      </w:r>
      <w:r>
        <w:t xml:space="preserve">n diesen Fällen trüge dann der private Anbieter die volle </w:t>
      </w:r>
      <w:r w:rsidRPr="00077F8A">
        <w:rPr>
          <w:b/>
        </w:rPr>
        <w:t>Beweislast</w:t>
      </w:r>
      <w:r>
        <w:t xml:space="preserve">, dass ein </w:t>
      </w:r>
      <w:r w:rsidR="00507571">
        <w:t xml:space="preserve">Verstoß gegen das Benachteiligungsverbot </w:t>
      </w:r>
      <w:r>
        <w:t>gegenüber einer Person mit Behinderung im Einzelfall nicht vorlag.</w:t>
      </w:r>
      <w:r w:rsidRPr="006842C6">
        <w:t xml:space="preserve"> </w:t>
      </w:r>
      <w:r>
        <w:t>Damit würde das AGG Anreize setzen, Barrierefrei-Standards zu schaffen und einzuhalten.</w:t>
      </w:r>
    </w:p>
    <w:p w:rsidR="00EB107C" w:rsidRDefault="00624A1A" w:rsidP="00077F8A">
      <w:r>
        <w:t>Um die</w:t>
      </w:r>
      <w:r w:rsidRPr="00637E43">
        <w:t xml:space="preserve"> </w:t>
      </w:r>
      <w:r>
        <w:t>Pflicht</w:t>
      </w:r>
      <w:r w:rsidRPr="00637E43">
        <w:t xml:space="preserve"> zu</w:t>
      </w:r>
      <w:r w:rsidR="00D7440D">
        <w:t>r</w:t>
      </w:r>
      <w:r w:rsidRPr="00637E43">
        <w:t xml:space="preserve"> Barrierefreiheit </w:t>
      </w:r>
      <w:r>
        <w:t xml:space="preserve">durchzusetzen, </w:t>
      </w:r>
      <w:r w:rsidRPr="00637E43">
        <w:t xml:space="preserve">bedarf es </w:t>
      </w:r>
      <w:r>
        <w:t>zudem</w:t>
      </w:r>
      <w:r w:rsidRPr="00637E43">
        <w:t xml:space="preserve"> verbindlicher Zeitvorgaben. </w:t>
      </w:r>
      <w:r w:rsidR="00213D69">
        <w:t>Der DBR</w:t>
      </w:r>
      <w:r w:rsidRPr="00637E43">
        <w:t xml:space="preserve"> </w:t>
      </w:r>
      <w:r>
        <w:t>hält</w:t>
      </w:r>
      <w:r w:rsidRPr="00637E43">
        <w:t xml:space="preserve"> </w:t>
      </w:r>
      <w:r w:rsidR="00213D69">
        <w:t>eine</w:t>
      </w:r>
      <w:r w:rsidR="00213D69" w:rsidRPr="00637E43">
        <w:t xml:space="preserve"> </w:t>
      </w:r>
      <w:r w:rsidRPr="00637E43">
        <w:t xml:space="preserve">verbindliche </w:t>
      </w:r>
      <w:r>
        <w:rPr>
          <w:b/>
          <w:bCs/>
        </w:rPr>
        <w:t>Umsetzungsf</w:t>
      </w:r>
      <w:r w:rsidRPr="00637E43">
        <w:rPr>
          <w:b/>
          <w:bCs/>
        </w:rPr>
        <w:t xml:space="preserve">rist </w:t>
      </w:r>
      <w:r w:rsidR="00213D69">
        <w:rPr>
          <w:b/>
          <w:bCs/>
        </w:rPr>
        <w:t xml:space="preserve">von vier Jahren, also konkret </w:t>
      </w:r>
      <w:r w:rsidRPr="00637E43">
        <w:t>das Jahr 202</w:t>
      </w:r>
      <w:r w:rsidR="00213D69">
        <w:t>4</w:t>
      </w:r>
      <w:r w:rsidR="00B034BF">
        <w:t>, insbesondere für die Beachtung und Schaffung fachlicher Standards zur Barrierefreiheit</w:t>
      </w:r>
      <w:r>
        <w:t xml:space="preserve"> für sach</w:t>
      </w:r>
      <w:r w:rsidR="00D7440D">
        <w:t>-</w:t>
      </w:r>
      <w:r>
        <w:t>gerecht</w:t>
      </w:r>
      <w:r w:rsidRPr="00637E43">
        <w:t xml:space="preserve">, sofern nicht spezialgesetzlich frühzeitigere Fristen normiert </w:t>
      </w:r>
      <w:r w:rsidR="00731213">
        <w:t>sind</w:t>
      </w:r>
      <w:r>
        <w:t>.</w:t>
      </w:r>
      <w:r w:rsidR="00731213">
        <w:t xml:space="preserve"> Zielvereinbarungen sollten zwei</w:t>
      </w:r>
      <w:r w:rsidR="00B034BF">
        <w:t xml:space="preserve"> Jahre nach ihrer Anmeldung verpflichtend abgeschlossen werden. </w:t>
      </w:r>
      <w:r w:rsidR="006B2145">
        <w:t xml:space="preserve">Bei der Erarbeitung von Standards </w:t>
      </w:r>
      <w:r w:rsidR="00213D69">
        <w:t>sind</w:t>
      </w:r>
      <w:r w:rsidR="006B2145">
        <w:t xml:space="preserve"> </w:t>
      </w:r>
      <w:r w:rsidR="00213D69">
        <w:t xml:space="preserve">die </w:t>
      </w:r>
      <w:r w:rsidR="006B2145">
        <w:t xml:space="preserve">Organisationen von Menschen mit Behinderung </w:t>
      </w:r>
      <w:r w:rsidR="00213D69">
        <w:t xml:space="preserve">zu </w:t>
      </w:r>
      <w:r w:rsidR="006B2145">
        <w:t>beteilig</w:t>
      </w:r>
      <w:r w:rsidR="00213D69">
        <w:t>en und die ihnen en</w:t>
      </w:r>
      <w:r w:rsidR="00AA21FF">
        <w:t>tstehenden Kosten zu erstatten.</w:t>
      </w:r>
    </w:p>
    <w:p w:rsidR="00B034BF" w:rsidRPr="00EB107C" w:rsidRDefault="00EB107C" w:rsidP="00624A1A">
      <w:pPr>
        <w:rPr>
          <w:color w:val="000000"/>
          <w:szCs w:val="23"/>
        </w:rPr>
      </w:pPr>
      <w:r>
        <w:t>Mit seinem abgestuft</w:t>
      </w:r>
      <w:r w:rsidR="00213D69">
        <w:t>en</w:t>
      </w:r>
      <w:r>
        <w:t xml:space="preserve"> Konzept zur Umsetzung von Barrierefreiheit bei privaten Anbietern von Gütern und Dienstleistungen trägt der DBR </w:t>
      </w:r>
      <w:r w:rsidR="00731213">
        <w:t>dem Grundsatz der</w:t>
      </w:r>
      <w:r w:rsidR="00B034BF">
        <w:t xml:space="preserve"> </w:t>
      </w:r>
      <w:r w:rsidR="00B034BF" w:rsidRPr="00077F8A">
        <w:rPr>
          <w:b/>
        </w:rPr>
        <w:t>Verhältnismäßigkeit</w:t>
      </w:r>
      <w:r w:rsidR="00B034BF">
        <w:t xml:space="preserve"> </w:t>
      </w:r>
      <w:r w:rsidR="00731213">
        <w:t xml:space="preserve">Rechnung. </w:t>
      </w:r>
      <w:r>
        <w:t xml:space="preserve">Mit diesem Ziel befürwortet der DBR überdies </w:t>
      </w:r>
      <w:r w:rsidR="00731213">
        <w:rPr>
          <w:color w:val="000000"/>
          <w:szCs w:val="23"/>
        </w:rPr>
        <w:t>e</w:t>
      </w:r>
      <w:r>
        <w:rPr>
          <w:color w:val="000000"/>
          <w:szCs w:val="23"/>
        </w:rPr>
        <w:t>ffektive Anreizmechanismen</w:t>
      </w:r>
      <w:r w:rsidR="00B034BF" w:rsidRPr="00B034BF">
        <w:rPr>
          <w:color w:val="000000"/>
          <w:szCs w:val="23"/>
        </w:rPr>
        <w:t xml:space="preserve">, die Bereitstellung </w:t>
      </w:r>
      <w:r>
        <w:rPr>
          <w:color w:val="000000"/>
          <w:szCs w:val="23"/>
        </w:rPr>
        <w:t>unterstützender</w:t>
      </w:r>
      <w:r w:rsidR="00B034BF" w:rsidRPr="00B034BF">
        <w:rPr>
          <w:color w:val="000000"/>
          <w:szCs w:val="23"/>
        </w:rPr>
        <w:t xml:space="preserve"> Ressourcen </w:t>
      </w:r>
      <w:r>
        <w:rPr>
          <w:color w:val="000000"/>
          <w:szCs w:val="23"/>
        </w:rPr>
        <w:t>und Fördermittel sowie die Schaffung von</w:t>
      </w:r>
      <w:r w:rsidR="00B034BF" w:rsidRPr="00B034BF">
        <w:rPr>
          <w:color w:val="000000"/>
          <w:szCs w:val="23"/>
        </w:rPr>
        <w:t xml:space="preserve"> Siegel</w:t>
      </w:r>
      <w:r>
        <w:rPr>
          <w:color w:val="000000"/>
          <w:szCs w:val="23"/>
        </w:rPr>
        <w:t xml:space="preserve">n, da </w:t>
      </w:r>
      <w:r w:rsidR="00077F8A">
        <w:rPr>
          <w:color w:val="000000"/>
          <w:szCs w:val="23"/>
        </w:rPr>
        <w:t>dies</w:t>
      </w:r>
      <w:r>
        <w:rPr>
          <w:color w:val="000000"/>
          <w:szCs w:val="23"/>
        </w:rPr>
        <w:t xml:space="preserve"> </w:t>
      </w:r>
      <w:r w:rsidR="00077F8A">
        <w:rPr>
          <w:color w:val="000000"/>
          <w:szCs w:val="23"/>
        </w:rPr>
        <w:t xml:space="preserve">die </w:t>
      </w:r>
      <w:r>
        <w:rPr>
          <w:color w:val="000000"/>
          <w:szCs w:val="23"/>
        </w:rPr>
        <w:t>private</w:t>
      </w:r>
      <w:r w:rsidR="00077F8A">
        <w:rPr>
          <w:color w:val="000000"/>
          <w:szCs w:val="23"/>
        </w:rPr>
        <w:t>n</w:t>
      </w:r>
      <w:r>
        <w:rPr>
          <w:color w:val="000000"/>
          <w:szCs w:val="23"/>
        </w:rPr>
        <w:t xml:space="preserve"> Anbieter in der Umsetzung von Barrierefreiheit wirksam unterstützen </w:t>
      </w:r>
      <w:r w:rsidR="00077F8A">
        <w:rPr>
          <w:color w:val="000000"/>
          <w:szCs w:val="23"/>
        </w:rPr>
        <w:t>kann</w:t>
      </w:r>
      <w:r>
        <w:rPr>
          <w:color w:val="000000"/>
          <w:szCs w:val="23"/>
        </w:rPr>
        <w:t>.</w:t>
      </w:r>
    </w:p>
    <w:p w:rsidR="00624A1A" w:rsidRPr="00EA43F3" w:rsidRDefault="00624A1A" w:rsidP="00624A1A">
      <w:pPr>
        <w:pStyle w:val="berschrift2"/>
        <w:autoSpaceDE/>
        <w:autoSpaceDN/>
        <w:spacing w:before="240" w:after="240" w:line="276" w:lineRule="auto"/>
        <w:ind w:left="714" w:hanging="357"/>
      </w:pPr>
      <w:r>
        <w:t>Recht</w:t>
      </w:r>
      <w:r w:rsidRPr="00EA43F3">
        <w:t xml:space="preserve"> auf angemessene Vorkehrungen im </w:t>
      </w:r>
      <w:r>
        <w:t>AGG verankern</w:t>
      </w:r>
      <w:r w:rsidRPr="00EA43F3">
        <w:t xml:space="preserve"> </w:t>
      </w:r>
    </w:p>
    <w:p w:rsidR="00624A1A" w:rsidRDefault="00624A1A" w:rsidP="00624A1A">
      <w:r>
        <w:t>Unabhängig von</w:t>
      </w:r>
      <w:r w:rsidRPr="00983E18">
        <w:t xml:space="preserve"> </w:t>
      </w:r>
      <w:r>
        <w:t>gesetzlichen Pflichten zur – stufenweisen – Herstellung von Barrierefreiheit</w:t>
      </w:r>
      <w:r w:rsidRPr="00983E18">
        <w:t xml:space="preserve"> </w:t>
      </w:r>
      <w:r>
        <w:t>müssen</w:t>
      </w:r>
      <w:r w:rsidRPr="00983E18">
        <w:t xml:space="preserve"> private Anbieter von Produkten und Dienstleistungen </w:t>
      </w:r>
      <w:r>
        <w:t>verpflichtet werden</w:t>
      </w:r>
      <w:r w:rsidRPr="00983E18">
        <w:t xml:space="preserve">, </w:t>
      </w:r>
      <w:r w:rsidRPr="00983E18">
        <w:rPr>
          <w:b/>
          <w:bCs/>
        </w:rPr>
        <w:t xml:space="preserve">angemessene Vorkehrungen </w:t>
      </w:r>
      <w:r>
        <w:t xml:space="preserve">zu treffen, um Barrieren im Einzelfall auszuräumen. Die </w:t>
      </w:r>
      <w:r w:rsidRPr="00983E18">
        <w:t xml:space="preserve">Versagung dieser Vorkehrungen </w:t>
      </w:r>
      <w:r>
        <w:t>ist als</w:t>
      </w:r>
      <w:r w:rsidRPr="00983E18">
        <w:t xml:space="preserve"> </w:t>
      </w:r>
      <w:r>
        <w:t xml:space="preserve">Diskriminierungstatbestand </w:t>
      </w:r>
      <w:r>
        <w:rPr>
          <w:rFonts w:cs="Arial"/>
          <w:szCs w:val="24"/>
        </w:rPr>
        <w:t xml:space="preserve">in § 7 und 19 AGG </w:t>
      </w:r>
      <w:r w:rsidR="00B37253">
        <w:t>zu normieren.</w:t>
      </w:r>
    </w:p>
    <w:p w:rsidR="00BF7EAC" w:rsidRDefault="00624A1A" w:rsidP="00A77DBA">
      <w:r>
        <w:lastRenderedPageBreak/>
        <w:t xml:space="preserve">Bei der </w:t>
      </w:r>
      <w:r w:rsidRPr="00F12D05">
        <w:rPr>
          <w:b/>
        </w:rPr>
        <w:t>Definition</w:t>
      </w:r>
      <w:r>
        <w:t xml:space="preserve"> der angemessenen Vorkehrungen ist an § 7 Abs. 2 BGG anzuknüpfen. Danach sind angemessene Vorkehrungen Maßnahmen, die </w:t>
      </w:r>
      <w:r w:rsidRPr="00983E18">
        <w:t>keine unverhältnismäßige oder unbillige Belastung darstellen</w:t>
      </w:r>
      <w:r>
        <w:t xml:space="preserve"> und die im Einzelfall geeignet und erforderlich sind, um zu gewährleisten, dass ein Mensch mit Behinderung gleichberechtigt mit anderen alle Re</w:t>
      </w:r>
      <w:r w:rsidR="00AA21FF">
        <w:t>chte genießen und ausüben kann.</w:t>
      </w:r>
    </w:p>
    <w:p w:rsidR="00A77DBA" w:rsidRDefault="00624A1A" w:rsidP="00A77DBA">
      <w:r>
        <w:t xml:space="preserve">Diese Definition </w:t>
      </w:r>
      <w:r w:rsidRPr="00EA43F3">
        <w:t xml:space="preserve">berücksichtigt </w:t>
      </w:r>
      <w:r>
        <w:t>ausreichend</w:t>
      </w:r>
      <w:r w:rsidRPr="00EA43F3">
        <w:t xml:space="preserve"> die </w:t>
      </w:r>
      <w:r w:rsidRPr="00F12D05">
        <w:rPr>
          <w:b/>
        </w:rPr>
        <w:t>Interessen de</w:t>
      </w:r>
      <w:r w:rsidR="00F12D05" w:rsidRPr="00F12D05">
        <w:rPr>
          <w:b/>
        </w:rPr>
        <w:t>r</w:t>
      </w:r>
      <w:r w:rsidRPr="00F12D05">
        <w:rPr>
          <w:b/>
        </w:rPr>
        <w:t xml:space="preserve"> privaten Anbieter</w:t>
      </w:r>
      <w:r w:rsidR="00A77DBA">
        <w:rPr>
          <w:b/>
        </w:rPr>
        <w:t xml:space="preserve">, </w:t>
      </w:r>
      <w:r w:rsidR="00A77DBA" w:rsidRPr="00A77DBA">
        <w:t>aber auch der Allgemeinheit</w:t>
      </w:r>
      <w:r w:rsidRPr="00A77DBA">
        <w:t>:</w:t>
      </w:r>
      <w:r w:rsidRPr="00EA43F3">
        <w:t xml:space="preserve"> Sind geforderte Anpassungen unverhältnismäßig oder stellen sie eine unbillige Belastung dar, können sie nicht als angemessene Vorkehrung eingefordert</w:t>
      </w:r>
      <w:r>
        <w:t xml:space="preserve"> und </w:t>
      </w:r>
      <w:r w:rsidRPr="00EA43F3">
        <w:t xml:space="preserve">ihre Verweigerung nicht als Diskriminierung gerügt werden. Im Umkehrschluss bedeutet dies aber auch, dass verhältnismäßige und nicht unbillige Anpassungen verlangt und ihre Verweigerung als Diskriminierung geahndet werden können, ohne dass sich </w:t>
      </w:r>
      <w:r w:rsidR="00F12D05">
        <w:t xml:space="preserve">die </w:t>
      </w:r>
      <w:r w:rsidRPr="00EA43F3">
        <w:t>(private</w:t>
      </w:r>
      <w:r w:rsidR="00F12D05">
        <w:t>n</w:t>
      </w:r>
      <w:r w:rsidRPr="00EA43F3">
        <w:t xml:space="preserve">) Anbieter auf Rechtfertigungsgründe berufen </w:t>
      </w:r>
      <w:r w:rsidR="00F12D05">
        <w:t>können</w:t>
      </w:r>
      <w:r w:rsidRPr="00EA43F3">
        <w:t xml:space="preserve">. </w:t>
      </w:r>
      <w:r w:rsidR="00A77DBA">
        <w:t>Der</w:t>
      </w:r>
      <w:r w:rsidR="00A77DBA" w:rsidRPr="00EA43F3">
        <w:t xml:space="preserve"> </w:t>
      </w:r>
      <w:r w:rsidRPr="00EA43F3">
        <w:t xml:space="preserve">Rückgriff auf § 20 AGG (zulässige unterschiedliche Behandlung) </w:t>
      </w:r>
      <w:r w:rsidR="00A77DBA">
        <w:t>sollte</w:t>
      </w:r>
      <w:r w:rsidR="00A77DBA" w:rsidRPr="00EA43F3">
        <w:t xml:space="preserve"> </w:t>
      </w:r>
      <w:r w:rsidR="00BF7EAC">
        <w:t>daher</w:t>
      </w:r>
      <w:r w:rsidR="00BF7EAC" w:rsidRPr="00EA43F3">
        <w:t xml:space="preserve"> </w:t>
      </w:r>
      <w:r w:rsidRPr="00EA43F3">
        <w:t xml:space="preserve">für den Bereich der angemessenen Vorkehrungen </w:t>
      </w:r>
      <w:r w:rsidR="00A77DBA">
        <w:t>eingeschränkt werden</w:t>
      </w:r>
      <w:r w:rsidRPr="00EA43F3">
        <w:t>.</w:t>
      </w:r>
    </w:p>
    <w:p w:rsidR="00624A1A" w:rsidRPr="00C52BA8" w:rsidRDefault="00F12D05" w:rsidP="00624A1A">
      <w:pPr>
        <w:rPr>
          <w:rFonts w:asciiTheme="minorHAnsi" w:hAnsiTheme="minorHAnsi"/>
        </w:rPr>
      </w:pPr>
      <w:r>
        <w:rPr>
          <w:rFonts w:asciiTheme="minorHAnsi" w:hAnsiTheme="minorHAnsi"/>
          <w:szCs w:val="23"/>
        </w:rPr>
        <w:t xml:space="preserve">Der DBR </w:t>
      </w:r>
      <w:r w:rsidR="00660CD6">
        <w:rPr>
          <w:rFonts w:asciiTheme="minorHAnsi" w:hAnsiTheme="minorHAnsi"/>
          <w:szCs w:val="23"/>
        </w:rPr>
        <w:t>sieht</w:t>
      </w:r>
      <w:r w:rsidR="00462502" w:rsidRPr="00C52BA8">
        <w:rPr>
          <w:rFonts w:asciiTheme="minorHAnsi" w:hAnsiTheme="minorHAnsi"/>
          <w:szCs w:val="23"/>
        </w:rPr>
        <w:t xml:space="preserve">, dass </w:t>
      </w:r>
      <w:r>
        <w:rPr>
          <w:rFonts w:asciiTheme="minorHAnsi" w:hAnsiTheme="minorHAnsi"/>
          <w:szCs w:val="23"/>
        </w:rPr>
        <w:t>angemessene Vorkehrungen</w:t>
      </w:r>
      <w:r w:rsidR="00462502" w:rsidRPr="00C52BA8">
        <w:rPr>
          <w:rFonts w:asciiTheme="minorHAnsi" w:hAnsiTheme="minorHAnsi"/>
          <w:szCs w:val="23"/>
        </w:rPr>
        <w:t xml:space="preserve"> </w:t>
      </w:r>
      <w:r w:rsidR="00C52BA8" w:rsidRPr="00C52BA8">
        <w:rPr>
          <w:rFonts w:asciiTheme="minorHAnsi" w:hAnsiTheme="minorHAnsi"/>
          <w:szCs w:val="23"/>
        </w:rPr>
        <w:t xml:space="preserve">im Einzelfall </w:t>
      </w:r>
      <w:r w:rsidR="00462502" w:rsidRPr="00C52BA8">
        <w:rPr>
          <w:rFonts w:asciiTheme="minorHAnsi" w:hAnsiTheme="minorHAnsi"/>
          <w:szCs w:val="23"/>
        </w:rPr>
        <w:t xml:space="preserve">sehr unterschiedlich </w:t>
      </w:r>
      <w:r w:rsidR="005940D2">
        <w:rPr>
          <w:rFonts w:asciiTheme="minorHAnsi" w:hAnsiTheme="minorHAnsi"/>
          <w:szCs w:val="23"/>
        </w:rPr>
        <w:t>ausfallen</w:t>
      </w:r>
      <w:r w:rsidR="00462502" w:rsidRPr="00C52BA8">
        <w:rPr>
          <w:rFonts w:asciiTheme="minorHAnsi" w:hAnsiTheme="minorHAnsi"/>
          <w:szCs w:val="23"/>
        </w:rPr>
        <w:t xml:space="preserve"> können: das Anlegen einer temporären </w:t>
      </w:r>
      <w:r w:rsidR="00C52BA8" w:rsidRPr="00C52BA8">
        <w:rPr>
          <w:rFonts w:asciiTheme="minorHAnsi" w:hAnsiTheme="minorHAnsi"/>
          <w:szCs w:val="23"/>
        </w:rPr>
        <w:t>Rampe aber auch</w:t>
      </w:r>
      <w:r w:rsidR="00462502" w:rsidRPr="00C52BA8">
        <w:rPr>
          <w:rFonts w:asciiTheme="minorHAnsi" w:hAnsiTheme="minorHAnsi"/>
          <w:szCs w:val="23"/>
        </w:rPr>
        <w:t xml:space="preserve"> die dauerhafte Beseitigung einzelner Stufen</w:t>
      </w:r>
      <w:r w:rsidR="00C52BA8" w:rsidRPr="00C52BA8">
        <w:rPr>
          <w:rFonts w:asciiTheme="minorHAnsi" w:hAnsiTheme="minorHAnsi"/>
          <w:szCs w:val="23"/>
        </w:rPr>
        <w:t xml:space="preserve">, </w:t>
      </w:r>
      <w:r w:rsidR="00FE00F8">
        <w:rPr>
          <w:rFonts w:asciiTheme="minorHAnsi" w:hAnsiTheme="minorHAnsi"/>
          <w:szCs w:val="23"/>
        </w:rPr>
        <w:t xml:space="preserve">das Bereitstellen von </w:t>
      </w:r>
      <w:r w:rsidR="00C52BA8" w:rsidRPr="00C52BA8">
        <w:rPr>
          <w:rFonts w:asciiTheme="minorHAnsi" w:hAnsiTheme="minorHAnsi"/>
          <w:szCs w:val="23"/>
        </w:rPr>
        <w:t>Filme</w:t>
      </w:r>
      <w:r w:rsidR="00FE00F8">
        <w:rPr>
          <w:rFonts w:asciiTheme="minorHAnsi" w:hAnsiTheme="minorHAnsi"/>
          <w:szCs w:val="23"/>
        </w:rPr>
        <w:t>n mit Untertiteln, Audiodeskription und in Gebärdensprache</w:t>
      </w:r>
      <w:r w:rsidR="00C52BA8" w:rsidRPr="00C52BA8">
        <w:rPr>
          <w:rFonts w:asciiTheme="minorHAnsi" w:hAnsiTheme="minorHAnsi"/>
          <w:szCs w:val="23"/>
        </w:rPr>
        <w:t>, das Übersetzen von Texten in leichter Sprache, das Bereitstellen von Vergrößerungssoftware, die Möglichkeit, eine Prüfung unter modifizierten Bedingungen abzulegen</w:t>
      </w:r>
      <w:r>
        <w:rPr>
          <w:rFonts w:asciiTheme="minorHAnsi" w:hAnsiTheme="minorHAnsi"/>
          <w:szCs w:val="23"/>
        </w:rPr>
        <w:t xml:space="preserve"> etc. </w:t>
      </w:r>
      <w:r w:rsidR="005940D2">
        <w:rPr>
          <w:rFonts w:asciiTheme="minorHAnsi" w:hAnsiTheme="minorHAnsi"/>
          <w:szCs w:val="23"/>
        </w:rPr>
        <w:t xml:space="preserve">Der </w:t>
      </w:r>
      <w:r w:rsidR="00462502" w:rsidRPr="00C52BA8">
        <w:rPr>
          <w:rFonts w:asciiTheme="minorHAnsi" w:hAnsiTheme="minorHAnsi" w:cs="Times-Roman"/>
          <w:sz w:val="22"/>
        </w:rPr>
        <w:t xml:space="preserve">Americans </w:t>
      </w:r>
      <w:proofErr w:type="spellStart"/>
      <w:r w:rsidR="00462502" w:rsidRPr="00C52BA8">
        <w:rPr>
          <w:rFonts w:asciiTheme="minorHAnsi" w:hAnsiTheme="minorHAnsi" w:cs="Times-Roman"/>
          <w:sz w:val="22"/>
        </w:rPr>
        <w:t>with</w:t>
      </w:r>
      <w:proofErr w:type="spellEnd"/>
      <w:r w:rsidR="00462502" w:rsidRPr="00C52BA8">
        <w:rPr>
          <w:rFonts w:asciiTheme="minorHAnsi" w:hAnsiTheme="minorHAnsi" w:cs="Times-Roman"/>
          <w:sz w:val="22"/>
        </w:rPr>
        <w:t xml:space="preserve"> </w:t>
      </w:r>
      <w:proofErr w:type="spellStart"/>
      <w:r w:rsidR="00462502" w:rsidRPr="00C52BA8">
        <w:rPr>
          <w:rFonts w:asciiTheme="minorHAnsi" w:hAnsiTheme="minorHAnsi" w:cs="Times-Roman"/>
          <w:sz w:val="22"/>
        </w:rPr>
        <w:t>Disabilities</w:t>
      </w:r>
      <w:proofErr w:type="spellEnd"/>
      <w:r w:rsidR="00462502" w:rsidRPr="00C52BA8">
        <w:rPr>
          <w:rFonts w:asciiTheme="minorHAnsi" w:hAnsiTheme="minorHAnsi" w:cs="Times-Roman"/>
          <w:sz w:val="22"/>
        </w:rPr>
        <w:t xml:space="preserve"> Act (ADA)</w:t>
      </w:r>
      <w:r w:rsidR="005940D2">
        <w:rPr>
          <w:rFonts w:asciiTheme="minorHAnsi" w:hAnsiTheme="minorHAnsi" w:cs="Times-Roman"/>
          <w:sz w:val="22"/>
        </w:rPr>
        <w:t xml:space="preserve"> mit seinem umfassenden Ansatz zeigt seit vielen Jahren die </w:t>
      </w:r>
      <w:r w:rsidR="005940D2" w:rsidRPr="005940D2">
        <w:rPr>
          <w:rFonts w:asciiTheme="minorHAnsi" w:hAnsiTheme="minorHAnsi" w:cs="Times-Roman"/>
          <w:b/>
          <w:sz w:val="22"/>
        </w:rPr>
        <w:t xml:space="preserve">Notwendigkeit </w:t>
      </w:r>
      <w:r w:rsidR="005940D2">
        <w:rPr>
          <w:rFonts w:asciiTheme="minorHAnsi" w:hAnsiTheme="minorHAnsi" w:cs="Times-Roman"/>
          <w:b/>
          <w:sz w:val="22"/>
        </w:rPr>
        <w:t xml:space="preserve">und Machbarkeit </w:t>
      </w:r>
      <w:r w:rsidR="005940D2" w:rsidRPr="005940D2">
        <w:rPr>
          <w:rFonts w:asciiTheme="minorHAnsi" w:hAnsiTheme="minorHAnsi" w:cs="Times-Roman"/>
          <w:b/>
          <w:sz w:val="22"/>
        </w:rPr>
        <w:t>einer</w:t>
      </w:r>
      <w:r w:rsidR="005940D2">
        <w:rPr>
          <w:rFonts w:asciiTheme="minorHAnsi" w:hAnsiTheme="minorHAnsi" w:cs="Times-Roman"/>
          <w:sz w:val="22"/>
        </w:rPr>
        <w:t xml:space="preserve"> </w:t>
      </w:r>
      <w:r w:rsidR="005940D2" w:rsidRPr="005940D2">
        <w:rPr>
          <w:rFonts w:asciiTheme="minorHAnsi" w:hAnsiTheme="minorHAnsi" w:cs="Times-Roman"/>
          <w:b/>
          <w:sz w:val="22"/>
        </w:rPr>
        <w:t>gesetzlichen Verankerung</w:t>
      </w:r>
      <w:r w:rsidR="005940D2">
        <w:rPr>
          <w:rFonts w:asciiTheme="minorHAnsi" w:hAnsiTheme="minorHAnsi" w:cs="Times-Roman"/>
          <w:sz w:val="22"/>
        </w:rPr>
        <w:t>.</w:t>
      </w:r>
    </w:p>
    <w:p w:rsidR="00624A1A" w:rsidRDefault="00624A1A" w:rsidP="00624A1A">
      <w:pPr>
        <w:pStyle w:val="berschrift2"/>
        <w:autoSpaceDE/>
        <w:autoSpaceDN/>
        <w:spacing w:before="240" w:after="240" w:line="276" w:lineRule="auto"/>
        <w:ind w:left="714" w:hanging="357"/>
      </w:pPr>
      <w:r>
        <w:t xml:space="preserve">Novellierung der Rechtfertigungstatbestände </w:t>
      </w:r>
      <w:r w:rsidR="00D7440D">
        <w:t xml:space="preserve">– </w:t>
      </w:r>
      <w:r>
        <w:t xml:space="preserve">Gefahrenabwehr </w:t>
      </w:r>
      <w:r w:rsidR="00A45F69">
        <w:t xml:space="preserve">darf kein pauschaler </w:t>
      </w:r>
      <w:r>
        <w:t>Ausschlussgrund</w:t>
      </w:r>
      <w:r w:rsidR="00A45F69">
        <w:t xml:space="preserve"> sein</w:t>
      </w:r>
    </w:p>
    <w:p w:rsidR="00624A1A" w:rsidRDefault="00624A1A" w:rsidP="00624A1A">
      <w:r>
        <w:t xml:space="preserve">Menschen mit Behinderungen werden immer wieder von Leistungen und Angeboten ausgeschlossen </w:t>
      </w:r>
      <w:r w:rsidR="00D7440D">
        <w:t>– d</w:t>
      </w:r>
      <w:r>
        <w:t>ie privaten Anbieter geben als Grund pauschal mögliche Gefahren oder Schäden an, z.</w:t>
      </w:r>
      <w:r w:rsidR="00D7440D">
        <w:t xml:space="preserve"> </w:t>
      </w:r>
      <w:r>
        <w:t xml:space="preserve">B. werden blinde </w:t>
      </w:r>
      <w:r w:rsidR="00FE00F8">
        <w:t xml:space="preserve">und gehörlose </w:t>
      </w:r>
      <w:r>
        <w:t xml:space="preserve">Menschen oft von Fahrgeschäften auf Jahrmärkten </w:t>
      </w:r>
      <w:r w:rsidR="00FE00F8">
        <w:t xml:space="preserve">und in Freizeitparks </w:t>
      </w:r>
      <w:r>
        <w:t>ausgeschlossen. § 20 AGG ermöglicht die</w:t>
      </w:r>
      <w:r w:rsidR="00AA21FF">
        <w:t>s.</w:t>
      </w:r>
    </w:p>
    <w:p w:rsidR="00624A1A" w:rsidRDefault="00624A1A" w:rsidP="00624A1A">
      <w:r>
        <w:t xml:space="preserve">Zwar sind die Vermeidung von Gefahren und die Verhütung von Schäden als sachgerechter Grund für eine unterschiedliche Behandlung durchaus anzuerkennen. Der DBR fordert jedoch, dass Anbieter von Dienstleistungen bzw. Gütern konkret darlegen </w:t>
      </w:r>
      <w:r w:rsidR="00A45F69">
        <w:t xml:space="preserve">und begründen </w:t>
      </w:r>
      <w:r>
        <w:t xml:space="preserve">müssen, welche Gefahren sie sehen und welche Vorkehrungen sie zudem getroffen haben, um behinderten Menschen gleichwohl Zugang zu den Leistungen </w:t>
      </w:r>
      <w:r w:rsidR="00FE00F8">
        <w:t xml:space="preserve">und Angeboten </w:t>
      </w:r>
      <w:r>
        <w:t>zu ermöglichen, indem sie drohende Gefahren bzw. Schäden auf andere Art abwenden. Überdies darf nicht jede Gefahr den Leistungsausschluss zulasten behinderter Menschen begründen, sondern nur erhebliche Gefahren für Leib und Leben.</w:t>
      </w:r>
      <w:r w:rsidR="00BF7EAC">
        <w:t xml:space="preserve"> Eine unabhängige Stelle, vergleichbar der durch § 13 Abs. 3 BGG eingerichteten Überwachungsstelle, könnte die Überwachung und Durchsetzung </w:t>
      </w:r>
      <w:r w:rsidR="00AA21FF">
        <w:t>dieser Regelungen unterstützen.</w:t>
      </w:r>
    </w:p>
    <w:p w:rsidR="00624A1A" w:rsidRDefault="00624A1A" w:rsidP="00624A1A">
      <w:r>
        <w:lastRenderedPageBreak/>
        <w:t>Ziel muss sein, dass Menschen mit Behinderung das Recht haben, genauso wie Menschen ohne Behinderung selbst zu entscheiden, welche Leistungen sie in Anspruch nehmen und welche Risiken sie dafür ggf. eingehen. Ein pauschaler Leistungsausschluss mit Verweis auf drohende Gefahren sollte nicht (mehr) zulässig sein.</w:t>
      </w:r>
      <w:r w:rsidR="005940D2">
        <w:t xml:space="preserve"> Allenfalls versicherungsmathematisch fundierte Risiken</w:t>
      </w:r>
      <w:r w:rsidR="00A45F69">
        <w:t>, die die privaten Anbieter zuvor erhoben und dargelegt haben müssen,</w:t>
      </w:r>
      <w:r w:rsidR="005940D2">
        <w:t xml:space="preserve"> sollten berücksichtigt werden dürfen.</w:t>
      </w:r>
    </w:p>
    <w:p w:rsidR="00624A1A" w:rsidRDefault="00B37253" w:rsidP="00624A1A">
      <w:pPr>
        <w:pStyle w:val="berschrift2"/>
        <w:autoSpaceDE/>
        <w:autoSpaceDN/>
        <w:spacing w:before="240" w:after="240" w:line="276" w:lineRule="auto"/>
        <w:ind w:left="714" w:hanging="357"/>
      </w:pPr>
      <w:r>
        <w:t>Rechtsdurchsetzung stärken</w:t>
      </w:r>
    </w:p>
    <w:p w:rsidR="00624A1A" w:rsidRDefault="00A45F69" w:rsidP="00624A1A">
      <w:r>
        <w:t>Die Klagemöglichkeiten n</w:t>
      </w:r>
      <w:r w:rsidR="004205B5">
        <w:t>a</w:t>
      </w:r>
      <w:r>
        <w:t xml:space="preserve">ch dem AGG müssen erweitert werden. </w:t>
      </w:r>
      <w:r w:rsidR="00624A1A">
        <w:t>Der DBR fordert die Schaffung eines Verbandsklagerechts im AGG, damit nicht nur Betroffene selbst, sondern auch Verbände Missstände öffentlich machen und Abhilfe gerichtlich einfordern können. Inso</w:t>
      </w:r>
      <w:r w:rsidR="00AA21FF">
        <w:t>weit ist § 23 AGG zu erweitern.</w:t>
      </w:r>
    </w:p>
    <w:p w:rsidR="00624A1A" w:rsidRDefault="00624A1A" w:rsidP="00624A1A">
      <w:r>
        <w:t xml:space="preserve">Antidiskriminierungsverbände </w:t>
      </w:r>
      <w:r w:rsidR="00A45F69">
        <w:t xml:space="preserve">und Verbände im Sinne von § 14 BGG </w:t>
      </w:r>
      <w:r>
        <w:t>sollten ein echtes Verbands</w:t>
      </w:r>
      <w:r w:rsidR="002233FA">
        <w:t>-</w:t>
      </w:r>
      <w:r>
        <w:t>klagerecht sowie die Möglichkeit</w:t>
      </w:r>
      <w:r w:rsidRPr="00B06A64">
        <w:t xml:space="preserve"> </w:t>
      </w:r>
      <w:r>
        <w:t xml:space="preserve">erhalten, </w:t>
      </w:r>
      <w:r w:rsidR="00A45F69">
        <w:t>AGG-</w:t>
      </w:r>
      <w:r>
        <w:t xml:space="preserve">Ansprüche von Betroffenen im Wege der </w:t>
      </w:r>
      <w:proofErr w:type="spellStart"/>
      <w:r>
        <w:t>Prozessstandschaft</w:t>
      </w:r>
      <w:proofErr w:type="spellEnd"/>
      <w:r>
        <w:t xml:space="preserve"> geltend zu machen. Mit der Verbandsklage und der </w:t>
      </w:r>
      <w:proofErr w:type="spellStart"/>
      <w:r>
        <w:t>Prozessstandschaft</w:t>
      </w:r>
      <w:proofErr w:type="spellEnd"/>
      <w:r>
        <w:t xml:space="preserve"> sollten nicht nur Diskriminierungstatbestände gerügt, sondern auch die Pflicht zur Barrierefreiheit sowie zur Schaffung angemessener Vorkehrungen durchgesetzt werden können</w:t>
      </w:r>
      <w:r w:rsidR="00CE0713">
        <w:t xml:space="preserve">. Insoweit </w:t>
      </w:r>
      <w:r w:rsidR="00660CD6">
        <w:t>müssen</w:t>
      </w:r>
      <w:r w:rsidR="00CE0713">
        <w:t xml:space="preserve"> nach dem AGG sowohl eine Unterlassungsklage, eine Klage auf </w:t>
      </w:r>
      <w:r w:rsidR="00077F8A">
        <w:t>Vornahme einer</w:t>
      </w:r>
      <w:r w:rsidR="00CE0713">
        <w:t xml:space="preserve"> bestimmte</w:t>
      </w:r>
      <w:r w:rsidR="00077F8A">
        <w:t>n</w:t>
      </w:r>
      <w:r w:rsidR="00CE0713">
        <w:t xml:space="preserve"> Leistung</w:t>
      </w:r>
      <w:r w:rsidR="00077F8A">
        <w:t>/eines Tuns als auch eine Fortsetzungsfeststellungsklage statthaft sein</w:t>
      </w:r>
      <w:r>
        <w:t xml:space="preserve">. </w:t>
      </w:r>
      <w:r w:rsidRPr="002019B3">
        <w:rPr>
          <w:rFonts w:cs="Arial"/>
          <w:color w:val="000000"/>
          <w:szCs w:val="24"/>
        </w:rPr>
        <w:t>Rechtsmittel</w:t>
      </w:r>
      <w:r w:rsidR="002233FA">
        <w:rPr>
          <w:rFonts w:cs="Arial"/>
          <w:color w:val="000000"/>
          <w:szCs w:val="24"/>
        </w:rPr>
        <w:t>-</w:t>
      </w:r>
      <w:r w:rsidRPr="002019B3">
        <w:rPr>
          <w:rFonts w:cs="Arial"/>
          <w:color w:val="000000"/>
          <w:szCs w:val="24"/>
        </w:rPr>
        <w:t xml:space="preserve">fonds, wie sie aus dem Natur- und Umweltschutzbereich bekannt sind, leisten einen wesentlichen Beitrag, damit die Verbandsklage in der </w:t>
      </w:r>
      <w:r>
        <w:rPr>
          <w:rFonts w:cs="Arial"/>
          <w:color w:val="000000"/>
          <w:szCs w:val="24"/>
        </w:rPr>
        <w:t xml:space="preserve">Praxis zum Einsatz kommen kann und </w:t>
      </w:r>
      <w:r>
        <w:t>die Verbände behinderter Menschen dieses öffentliche Interesse tatsächlich wahrnehmen können.</w:t>
      </w:r>
    </w:p>
    <w:p w:rsidR="00624A1A" w:rsidRDefault="00624A1A" w:rsidP="00624A1A">
      <w:r>
        <w:t>Zudem ist das AGG als Verbraucherschutzgesetz anzuerkennen und in § 2 Unterlassungsklage</w:t>
      </w:r>
      <w:r w:rsidR="002233FA">
        <w:t>-</w:t>
      </w:r>
      <w:r>
        <w:t>gesetz (</w:t>
      </w:r>
      <w:proofErr w:type="spellStart"/>
      <w:r>
        <w:t>UKlG</w:t>
      </w:r>
      <w:proofErr w:type="spellEnd"/>
      <w:r>
        <w:t xml:space="preserve">) aufzunehmen. Das ermöglicht Verbandsklagen nach </w:t>
      </w:r>
      <w:proofErr w:type="spellStart"/>
      <w:r>
        <w:t>UKlG</w:t>
      </w:r>
      <w:proofErr w:type="spellEnd"/>
      <w:r>
        <w:t xml:space="preserve"> und stärkt den Verbraucherschutz.</w:t>
      </w:r>
    </w:p>
    <w:p w:rsidR="00624A1A" w:rsidRDefault="00A45F69" w:rsidP="00624A1A">
      <w:r>
        <w:t>Die Klagefristen nach dem AGG sind überdies zu verlängern. Bislang muss n</w:t>
      </w:r>
      <w:r w:rsidR="00624A1A">
        <w:t xml:space="preserve">ach § 15 Abs. 4 AGG ein Anspruch auf Entschädigung bzw. Schadensersatz wegen Verstößen des Arbeitgebers gegen das Benachteiligungsverbot binnen einer Frist von 2 Monaten schriftlich geltend gemacht werden. Diese Frist ist deutlich zu kurz. Sie verhindert wirksamen gerichtlichen Schutz gegen </w:t>
      </w:r>
      <w:proofErr w:type="spellStart"/>
      <w:r w:rsidR="00624A1A">
        <w:t>Benach</w:t>
      </w:r>
      <w:r w:rsidR="002233FA">
        <w:t>-</w:t>
      </w:r>
      <w:r w:rsidR="00624A1A">
        <w:t>teiligungen</w:t>
      </w:r>
      <w:proofErr w:type="spellEnd"/>
      <w:r w:rsidR="00624A1A">
        <w:t>. Je stärker die erlebte Diskriminierung und damit einhergehende Persönlichkeits</w:t>
      </w:r>
      <w:r w:rsidR="002233FA">
        <w:t>-</w:t>
      </w:r>
      <w:r w:rsidR="00624A1A">
        <w:t xml:space="preserve">verletzung, desto länger ist die Zeit, die Geschädigte für die Verarbeitung brauchen, bevor sie klagen können. Hier dürfen kurze Fristen nicht den Rechtsschutz </w:t>
      </w:r>
      <w:r w:rsidR="002D2819">
        <w:t>verkürzen. Der</w:t>
      </w:r>
      <w:r w:rsidR="00624A1A">
        <w:t xml:space="preserve"> DBR fordert daher eine Erweiterung der Klagefrist von 2 auf mindestens 6 Monate.</w:t>
      </w:r>
    </w:p>
    <w:p w:rsidR="00A45F69" w:rsidRDefault="00A45F69" w:rsidP="00624A1A">
      <w:r>
        <w:t>Neben der Stärkung des gerichtlichen Rechtsschutzes muss bei Verstößen gegen das Diskriminierungsverbot aufgrund von Behinderung nach dem AGG eine niedrigschwellige Beschwerdemöglichkeit geschaffen werden. Dazu ist die Zuständigkeit der Schlichtungsstelle nach § 16 BGG zu erweitern. Diese Schlichtungsstelle verfügt bereits über das Knowhow in Bezug auf Fragen der Barrierefreiheit und der angemessenen Vorkehrungen.</w:t>
      </w:r>
    </w:p>
    <w:p w:rsidR="00624A1A" w:rsidRDefault="00624A1A" w:rsidP="00624A1A">
      <w:pPr>
        <w:pStyle w:val="berschrift2"/>
        <w:autoSpaceDE/>
        <w:autoSpaceDN/>
        <w:spacing w:before="240" w:after="240" w:line="276" w:lineRule="auto"/>
        <w:ind w:left="714" w:hanging="357"/>
      </w:pPr>
      <w:r>
        <w:lastRenderedPageBreak/>
        <w:t>Erweiterung de</w:t>
      </w:r>
      <w:r w:rsidR="004205B5">
        <w:t>s</w:t>
      </w:r>
      <w:r>
        <w:t xml:space="preserve"> geschützten Personenkreises</w:t>
      </w:r>
    </w:p>
    <w:p w:rsidR="00624A1A" w:rsidRDefault="00624A1A" w:rsidP="00624A1A">
      <w:r>
        <w:t xml:space="preserve">Im Hinblick auf die Diskriminierungsgründe sollte der Katalog in § 1 AGG erweitert werden. </w:t>
      </w:r>
      <w:r w:rsidR="001754D9">
        <w:t>Es sollte klargestellt werden, dass c</w:t>
      </w:r>
      <w:r>
        <w:t xml:space="preserve">hronisch erkrankte Menschen </w:t>
      </w:r>
      <w:r w:rsidR="001754D9">
        <w:t>zu den Menschen mit Behinderungen nach § 2 SGB IX gehören und</w:t>
      </w:r>
      <w:r>
        <w:t xml:space="preserve"> in den Schutz des AGG einbezogen</w:t>
      </w:r>
      <w:r w:rsidR="001754D9">
        <w:t xml:space="preserve"> sind</w:t>
      </w:r>
      <w:r>
        <w:t>. Zudem ist der Katalog auch auf den sozialen Status zu erstrecken, der oft eng mit dem Merkmal „Behinderung“ verbunden ist.</w:t>
      </w:r>
    </w:p>
    <w:p w:rsidR="00624A1A" w:rsidRDefault="00624A1A" w:rsidP="00624A1A">
      <w:r>
        <w:t>Neben vorhandenen Behinderungen sind zudem auch drohende bzw. zukünftige Behinderungen</w:t>
      </w:r>
      <w:r w:rsidR="001754D9">
        <w:t>,</w:t>
      </w:r>
      <w:r>
        <w:t xml:space="preserve"> </w:t>
      </w:r>
      <w:r w:rsidR="001754D9">
        <w:t xml:space="preserve">wie im SGB IX bereits verankert, </w:t>
      </w:r>
      <w:r>
        <w:t xml:space="preserve">in den Schutzbereich einzubeziehen, </w:t>
      </w:r>
      <w:r w:rsidR="001754D9">
        <w:t xml:space="preserve">soweit es nicht schon durch die Rechtsprechung erfolgt ist, </w:t>
      </w:r>
      <w:r>
        <w:t>um effektiven Diskriminierungsschutz zu ermöglichen. Im Interesse insbesondere der Eltern von Kindern mit Behinderungen ist überdies der Diskriminierungsschutz auf Angehörige zu erstrecken (assoziierte Diskriminierung gemäß EuGH</w:t>
      </w:r>
      <w:r w:rsidR="0032552B">
        <w:rPr>
          <w:rStyle w:val="Funotenzeichen"/>
        </w:rPr>
        <w:footnoteReference w:id="5"/>
      </w:r>
      <w:r>
        <w:t>).</w:t>
      </w:r>
    </w:p>
    <w:p w:rsidR="00403324" w:rsidRPr="008801DE" w:rsidRDefault="00403324" w:rsidP="002873EE">
      <w:bookmarkStart w:id="1" w:name="w3c-doctype"/>
      <w:bookmarkEnd w:id="1"/>
      <w:r w:rsidRPr="008801DE">
        <w:t xml:space="preserve">Berlin, den </w:t>
      </w:r>
      <w:r w:rsidR="00816D89">
        <w:t>3. Dezember</w:t>
      </w:r>
      <w:r w:rsidR="00B37253">
        <w:t xml:space="preserve"> 2020</w:t>
      </w:r>
    </w:p>
    <w:sectPr w:rsidR="00403324" w:rsidRPr="008801DE" w:rsidSect="0040332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8A5" w:rsidRDefault="000048A5">
      <w:pPr>
        <w:spacing w:after="0" w:line="240" w:lineRule="auto"/>
      </w:pPr>
      <w:r>
        <w:separator/>
      </w:r>
    </w:p>
  </w:endnote>
  <w:endnote w:type="continuationSeparator" w:id="0">
    <w:p w:rsidR="000048A5" w:rsidRDefault="0000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0A" w:rsidRDefault="007F410A" w:rsidP="00AA21FF">
    <w:pPr>
      <w:pStyle w:val="Fuzeile"/>
      <w:jc w:val="center"/>
    </w:pPr>
    <w:r>
      <w:fldChar w:fldCharType="begin"/>
    </w:r>
    <w:r>
      <w:instrText>PAGE   \* MERGEFORMAT</w:instrText>
    </w:r>
    <w:r>
      <w:fldChar w:fldCharType="separate"/>
    </w:r>
    <w:r w:rsidR="00413A5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8A5" w:rsidRDefault="000048A5">
      <w:pPr>
        <w:spacing w:after="0" w:line="240" w:lineRule="auto"/>
      </w:pPr>
      <w:r>
        <w:separator/>
      </w:r>
    </w:p>
  </w:footnote>
  <w:footnote w:type="continuationSeparator" w:id="0">
    <w:p w:rsidR="000048A5" w:rsidRDefault="000048A5">
      <w:pPr>
        <w:spacing w:after="0" w:line="240" w:lineRule="auto"/>
      </w:pPr>
      <w:r>
        <w:continuationSeparator/>
      </w:r>
    </w:p>
  </w:footnote>
  <w:footnote w:id="1">
    <w:p w:rsidR="007F410A" w:rsidRPr="007A25A9" w:rsidRDefault="007F410A" w:rsidP="007A25A9">
      <w:pPr>
        <w:pStyle w:val="Kommentartext"/>
        <w:rPr>
          <w:rFonts w:asciiTheme="minorHAnsi" w:hAnsiTheme="minorHAnsi"/>
        </w:rPr>
      </w:pPr>
      <w:r>
        <w:rPr>
          <w:rStyle w:val="Funotenzeichen"/>
        </w:rPr>
        <w:footnoteRef/>
      </w:r>
      <w:r>
        <w:t xml:space="preserve"> </w:t>
      </w:r>
      <w:r w:rsidRPr="007A25A9">
        <w:rPr>
          <w:rFonts w:asciiTheme="minorHAnsi" w:hAnsiTheme="minorHAnsi"/>
        </w:rPr>
        <w:t xml:space="preserve">Vgl. Koalitionsvertrag </w:t>
      </w:r>
      <w:r w:rsidRPr="00507571">
        <w:rPr>
          <w:rStyle w:val="st1"/>
          <w:rFonts w:asciiTheme="minorHAnsi" w:hAnsiTheme="minorHAnsi" w:cs="Arial"/>
        </w:rPr>
        <w:t xml:space="preserve">zwischen. CDU, CSU und SPD 2018, </w:t>
      </w:r>
      <w:r w:rsidRPr="007A25A9">
        <w:rPr>
          <w:rFonts w:asciiTheme="minorHAnsi" w:hAnsiTheme="minorHAnsi"/>
        </w:rPr>
        <w:t>Zeile 4363-4366: „Im Rahmen der Weiterentwicklung des Allgemeinen Gleichbehandlungsgesetzes (AGG) werden wir prüfen, wie Private, die Dienstleistungen für die Allgemeinheit erbringen, angemessene Vorkehrungen umsetzen können. Ein erster Schritt wird den Gesundheitssektor betreffen.“</w:t>
      </w:r>
    </w:p>
  </w:footnote>
  <w:footnote w:id="2">
    <w:p w:rsidR="007F410A" w:rsidRDefault="007F410A">
      <w:pPr>
        <w:pStyle w:val="Funotentext"/>
        <w:rPr>
          <w:rFonts w:asciiTheme="minorHAnsi" w:hAnsiTheme="minorHAnsi" w:cstheme="minorHAnsi"/>
        </w:rPr>
      </w:pPr>
      <w:r w:rsidRPr="001019DB">
        <w:rPr>
          <w:rStyle w:val="Funotenzeichen"/>
          <w:rFonts w:asciiTheme="minorHAnsi" w:hAnsiTheme="minorHAnsi" w:cstheme="minorHAnsi"/>
        </w:rPr>
        <w:footnoteRef/>
      </w:r>
      <w:r w:rsidRPr="001019DB">
        <w:rPr>
          <w:rFonts w:asciiTheme="minorHAnsi" w:hAnsiTheme="minorHAnsi" w:cstheme="minorHAnsi"/>
        </w:rPr>
        <w:t xml:space="preserve"> </w:t>
      </w:r>
      <w:hyperlink r:id="rId1" w:history="1">
        <w:r w:rsidR="001019DB" w:rsidRPr="004D460B">
          <w:rPr>
            <w:rStyle w:val="Hyperlink"/>
            <w:rFonts w:asciiTheme="minorHAnsi" w:hAnsiTheme="minorHAnsi" w:cstheme="minorHAnsi"/>
          </w:rPr>
          <w:t>https://www.deutscher-behindertenrat.de/ID255536</w:t>
        </w:r>
      </w:hyperlink>
    </w:p>
    <w:p w:rsidR="001019DB" w:rsidRPr="001019DB" w:rsidRDefault="001019DB">
      <w:pPr>
        <w:pStyle w:val="Funotentext"/>
        <w:rPr>
          <w:rFonts w:asciiTheme="minorHAnsi" w:hAnsiTheme="minorHAnsi" w:cstheme="minorHAnsi"/>
        </w:rPr>
      </w:pPr>
    </w:p>
  </w:footnote>
  <w:footnote w:id="3">
    <w:p w:rsidR="007F410A" w:rsidRPr="001019DB" w:rsidRDefault="007F410A">
      <w:pPr>
        <w:pStyle w:val="Funotentext"/>
        <w:rPr>
          <w:rFonts w:asciiTheme="minorHAnsi" w:hAnsiTheme="minorHAnsi" w:cstheme="minorHAnsi"/>
        </w:rPr>
      </w:pPr>
      <w:r>
        <w:rPr>
          <w:rStyle w:val="Funotenzeichen"/>
        </w:rPr>
        <w:footnoteRef/>
      </w:r>
      <w:r>
        <w:t xml:space="preserve"> </w:t>
      </w:r>
      <w:r w:rsidRPr="001019DB">
        <w:rPr>
          <w:rFonts w:asciiTheme="minorHAnsi" w:hAnsiTheme="minorHAnsi" w:cstheme="minorHAnsi"/>
        </w:rPr>
        <w:t>Seit 2018 sind die Verpflichtungen zur Barrierefreiheit aufgrund der EU-Webseitenrichtlinie für einen sehr kleinen Teil privater Anbieter („Öffentliche Stellen“) lediglich im Bereich der Informationstechnik erweitert worden.</w:t>
      </w:r>
    </w:p>
  </w:footnote>
  <w:footnote w:id="4">
    <w:p w:rsidR="00D03A0E" w:rsidRDefault="007F410A" w:rsidP="00D03A0E">
      <w:pPr>
        <w:pStyle w:val="Funotentext"/>
        <w:jc w:val="left"/>
        <w:rPr>
          <w:rFonts w:asciiTheme="minorHAnsi" w:hAnsiTheme="minorHAnsi"/>
        </w:rPr>
      </w:pPr>
      <w:r w:rsidRPr="007D7507">
        <w:rPr>
          <w:rStyle w:val="Funotenzeichen"/>
          <w:rFonts w:asciiTheme="minorHAnsi" w:hAnsiTheme="minorHAnsi"/>
        </w:rPr>
        <w:footnoteRef/>
      </w:r>
      <w:r w:rsidRPr="007D7507">
        <w:rPr>
          <w:rFonts w:asciiTheme="minorHAnsi" w:hAnsiTheme="minorHAnsi"/>
        </w:rPr>
        <w:t>Vgl. DBR-Eckpunktepapier vom August 2014, abrufbar unter</w:t>
      </w:r>
      <w:r w:rsidR="00D03A0E">
        <w:rPr>
          <w:rFonts w:asciiTheme="minorHAnsi" w:hAnsiTheme="minorHAnsi"/>
        </w:rPr>
        <w:t>:</w:t>
      </w:r>
    </w:p>
    <w:p w:rsidR="007F410A" w:rsidRPr="007D7507" w:rsidRDefault="00413A5D" w:rsidP="00D03A0E">
      <w:pPr>
        <w:pStyle w:val="Funotentext"/>
        <w:jc w:val="left"/>
        <w:rPr>
          <w:rFonts w:asciiTheme="minorHAnsi" w:hAnsiTheme="minorHAnsi"/>
        </w:rPr>
      </w:pPr>
      <w:hyperlink r:id="rId2" w:history="1">
        <w:r w:rsidR="007F410A" w:rsidRPr="007D7507">
          <w:rPr>
            <w:rStyle w:val="Hyperlink"/>
            <w:rFonts w:asciiTheme="minorHAnsi" w:hAnsiTheme="minorHAnsi"/>
          </w:rPr>
          <w:t>http://www.deutscher-behindertenrat.de/mime/00087477D1425293851.pdf</w:t>
        </w:r>
      </w:hyperlink>
      <w:r w:rsidR="007F410A" w:rsidRPr="007D7507">
        <w:rPr>
          <w:rFonts w:asciiTheme="minorHAnsi" w:hAnsiTheme="minorHAnsi"/>
        </w:rPr>
        <w:t xml:space="preserve"> </w:t>
      </w:r>
    </w:p>
  </w:footnote>
  <w:footnote w:id="5">
    <w:p w:rsidR="007F410A" w:rsidRPr="00816D89" w:rsidRDefault="007F410A" w:rsidP="0032552B">
      <w:pPr>
        <w:pStyle w:val="Funotentext"/>
        <w:rPr>
          <w:rFonts w:asciiTheme="minorHAnsi" w:hAnsiTheme="minorHAnsi"/>
        </w:rPr>
      </w:pPr>
      <w:r w:rsidRPr="00816D89">
        <w:rPr>
          <w:rStyle w:val="Funotenzeichen"/>
          <w:rFonts w:asciiTheme="minorHAnsi" w:hAnsiTheme="minorHAnsi"/>
        </w:rPr>
        <w:footnoteRef/>
      </w:r>
      <w:r w:rsidRPr="00816D89">
        <w:rPr>
          <w:rFonts w:asciiTheme="minorHAnsi" w:hAnsiTheme="minorHAnsi"/>
        </w:rPr>
        <w:t xml:space="preserve"> Sog. Coleman-Entscheidung des EuGH vom 17.</w:t>
      </w:r>
      <w:r w:rsidR="002511A2">
        <w:rPr>
          <w:rFonts w:asciiTheme="minorHAnsi" w:hAnsiTheme="minorHAnsi"/>
        </w:rPr>
        <w:t>0</w:t>
      </w:r>
      <w:r w:rsidRPr="00816D89">
        <w:rPr>
          <w:rFonts w:asciiTheme="minorHAnsi" w:hAnsiTheme="minorHAnsi"/>
        </w:rPr>
        <w:t>7.2008 – C 303/06)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6D59"/>
    <w:multiLevelType w:val="hybridMultilevel"/>
    <w:tmpl w:val="0750D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91BFC"/>
    <w:multiLevelType w:val="hybridMultilevel"/>
    <w:tmpl w:val="F522C0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5F6301F"/>
    <w:multiLevelType w:val="multilevel"/>
    <w:tmpl w:val="C46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33080"/>
    <w:multiLevelType w:val="hybridMultilevel"/>
    <w:tmpl w:val="A6E40F56"/>
    <w:lvl w:ilvl="0" w:tplc="33E4229C">
      <w:start w:val="1"/>
      <w:numFmt w:val="decimal"/>
      <w:pStyle w:val="berschrift1"/>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DF6CE1"/>
    <w:multiLevelType w:val="hybridMultilevel"/>
    <w:tmpl w:val="453429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810CC8"/>
    <w:multiLevelType w:val="multilevel"/>
    <w:tmpl w:val="DCAC3B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4AC23BF"/>
    <w:multiLevelType w:val="hybridMultilevel"/>
    <w:tmpl w:val="2C287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B423E6"/>
    <w:multiLevelType w:val="hybridMultilevel"/>
    <w:tmpl w:val="B3A2DAE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B711791"/>
    <w:multiLevelType w:val="hybridMultilevel"/>
    <w:tmpl w:val="A2C87666"/>
    <w:lvl w:ilvl="0" w:tplc="2FFAE064">
      <w:start w:val="1"/>
      <w:numFmt w:val="decimal"/>
      <w:pStyle w:val="berschrift2"/>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0E1613"/>
    <w:multiLevelType w:val="hybridMultilevel"/>
    <w:tmpl w:val="04F47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 w:numId="8">
    <w:abstractNumId w:val="3"/>
    <w:lvlOverride w:ilvl="0">
      <w:startOverride w:val="1"/>
    </w:lvlOverride>
  </w:num>
  <w:num w:numId="9">
    <w:abstractNumId w:val="3"/>
    <w:lvlOverride w:ilvl="0">
      <w:startOverride w:val="1"/>
    </w:lvlOverride>
  </w:num>
  <w:num w:numId="10">
    <w:abstractNumId w:val="3"/>
  </w:num>
  <w:num w:numId="11">
    <w:abstractNumId w:val="3"/>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24"/>
    <w:rsid w:val="00000B4D"/>
    <w:rsid w:val="000048A5"/>
    <w:rsid w:val="0001236C"/>
    <w:rsid w:val="00017843"/>
    <w:rsid w:val="00040110"/>
    <w:rsid w:val="00042813"/>
    <w:rsid w:val="0004302E"/>
    <w:rsid w:val="00064BE4"/>
    <w:rsid w:val="00077F8A"/>
    <w:rsid w:val="000A30C1"/>
    <w:rsid w:val="000A4142"/>
    <w:rsid w:val="000D3BED"/>
    <w:rsid w:val="000D463E"/>
    <w:rsid w:val="000E46E8"/>
    <w:rsid w:val="001019DB"/>
    <w:rsid w:val="001203A5"/>
    <w:rsid w:val="00143971"/>
    <w:rsid w:val="001505DE"/>
    <w:rsid w:val="00166012"/>
    <w:rsid w:val="001754D9"/>
    <w:rsid w:val="001D2892"/>
    <w:rsid w:val="001F222A"/>
    <w:rsid w:val="002104F8"/>
    <w:rsid w:val="00213D69"/>
    <w:rsid w:val="002233FA"/>
    <w:rsid w:val="00227E54"/>
    <w:rsid w:val="002453D1"/>
    <w:rsid w:val="002461CF"/>
    <w:rsid w:val="002511A2"/>
    <w:rsid w:val="00254BC6"/>
    <w:rsid w:val="00261840"/>
    <w:rsid w:val="002631CD"/>
    <w:rsid w:val="002824C0"/>
    <w:rsid w:val="002873EE"/>
    <w:rsid w:val="002930DF"/>
    <w:rsid w:val="002A4D64"/>
    <w:rsid w:val="002B7E64"/>
    <w:rsid w:val="002D1DAD"/>
    <w:rsid w:val="002D2819"/>
    <w:rsid w:val="00313984"/>
    <w:rsid w:val="00317943"/>
    <w:rsid w:val="0032363C"/>
    <w:rsid w:val="0032552B"/>
    <w:rsid w:val="003571CC"/>
    <w:rsid w:val="003606CB"/>
    <w:rsid w:val="00372B69"/>
    <w:rsid w:val="00380A4F"/>
    <w:rsid w:val="003A25C5"/>
    <w:rsid w:val="003D00D7"/>
    <w:rsid w:val="003D2509"/>
    <w:rsid w:val="003E7C51"/>
    <w:rsid w:val="00403324"/>
    <w:rsid w:val="00410F87"/>
    <w:rsid w:val="00413A5D"/>
    <w:rsid w:val="004205B5"/>
    <w:rsid w:val="00423609"/>
    <w:rsid w:val="004275F4"/>
    <w:rsid w:val="00441580"/>
    <w:rsid w:val="0044378E"/>
    <w:rsid w:val="00462502"/>
    <w:rsid w:val="004669E5"/>
    <w:rsid w:val="00495046"/>
    <w:rsid w:val="00496290"/>
    <w:rsid w:val="004A1DA7"/>
    <w:rsid w:val="004A4A56"/>
    <w:rsid w:val="004B715B"/>
    <w:rsid w:val="004C33D0"/>
    <w:rsid w:val="004C6295"/>
    <w:rsid w:val="004C75E6"/>
    <w:rsid w:val="004D3F92"/>
    <w:rsid w:val="004D44B9"/>
    <w:rsid w:val="004E5E55"/>
    <w:rsid w:val="004F7C3A"/>
    <w:rsid w:val="00507571"/>
    <w:rsid w:val="00537421"/>
    <w:rsid w:val="005376A4"/>
    <w:rsid w:val="005404E8"/>
    <w:rsid w:val="00553810"/>
    <w:rsid w:val="00553D7A"/>
    <w:rsid w:val="0055563F"/>
    <w:rsid w:val="005609A0"/>
    <w:rsid w:val="005654EB"/>
    <w:rsid w:val="00573492"/>
    <w:rsid w:val="005813AC"/>
    <w:rsid w:val="005940D2"/>
    <w:rsid w:val="005B6F9F"/>
    <w:rsid w:val="005C1EA8"/>
    <w:rsid w:val="005C3B12"/>
    <w:rsid w:val="005E2841"/>
    <w:rsid w:val="005F3671"/>
    <w:rsid w:val="005F5AB4"/>
    <w:rsid w:val="005F7711"/>
    <w:rsid w:val="006000A6"/>
    <w:rsid w:val="00612144"/>
    <w:rsid w:val="00624A1A"/>
    <w:rsid w:val="00644C1D"/>
    <w:rsid w:val="0065132B"/>
    <w:rsid w:val="00660CD6"/>
    <w:rsid w:val="00661FFF"/>
    <w:rsid w:val="00667E5B"/>
    <w:rsid w:val="00671EC4"/>
    <w:rsid w:val="00676F2A"/>
    <w:rsid w:val="00684EBE"/>
    <w:rsid w:val="00687928"/>
    <w:rsid w:val="0069223C"/>
    <w:rsid w:val="0069238D"/>
    <w:rsid w:val="006A1F44"/>
    <w:rsid w:val="006A2C3E"/>
    <w:rsid w:val="006B2145"/>
    <w:rsid w:val="006D2F78"/>
    <w:rsid w:val="006D39BA"/>
    <w:rsid w:val="006E2838"/>
    <w:rsid w:val="00713FDA"/>
    <w:rsid w:val="00731213"/>
    <w:rsid w:val="00733685"/>
    <w:rsid w:val="00752FCF"/>
    <w:rsid w:val="00755C54"/>
    <w:rsid w:val="00760D70"/>
    <w:rsid w:val="00761C2F"/>
    <w:rsid w:val="00785DF5"/>
    <w:rsid w:val="00787D9C"/>
    <w:rsid w:val="00792F22"/>
    <w:rsid w:val="007A0102"/>
    <w:rsid w:val="007A25A9"/>
    <w:rsid w:val="007B42DE"/>
    <w:rsid w:val="007C4086"/>
    <w:rsid w:val="007D7507"/>
    <w:rsid w:val="007F410A"/>
    <w:rsid w:val="00801682"/>
    <w:rsid w:val="00801B36"/>
    <w:rsid w:val="00802C9D"/>
    <w:rsid w:val="008105C8"/>
    <w:rsid w:val="00816D89"/>
    <w:rsid w:val="0082004F"/>
    <w:rsid w:val="008223CD"/>
    <w:rsid w:val="00836006"/>
    <w:rsid w:val="008360EA"/>
    <w:rsid w:val="008719D7"/>
    <w:rsid w:val="008801DE"/>
    <w:rsid w:val="008B7619"/>
    <w:rsid w:val="008C7175"/>
    <w:rsid w:val="008E5033"/>
    <w:rsid w:val="008F05E6"/>
    <w:rsid w:val="008F088B"/>
    <w:rsid w:val="0090716D"/>
    <w:rsid w:val="009179CE"/>
    <w:rsid w:val="00945042"/>
    <w:rsid w:val="00972C28"/>
    <w:rsid w:val="009744F6"/>
    <w:rsid w:val="009A13D5"/>
    <w:rsid w:val="009A25AE"/>
    <w:rsid w:val="009B67A7"/>
    <w:rsid w:val="00A072A6"/>
    <w:rsid w:val="00A23FC8"/>
    <w:rsid w:val="00A45F69"/>
    <w:rsid w:val="00A67E3E"/>
    <w:rsid w:val="00A71373"/>
    <w:rsid w:val="00A77DBA"/>
    <w:rsid w:val="00AA1832"/>
    <w:rsid w:val="00AA21FF"/>
    <w:rsid w:val="00AD087B"/>
    <w:rsid w:val="00AE317B"/>
    <w:rsid w:val="00AF230E"/>
    <w:rsid w:val="00AF4168"/>
    <w:rsid w:val="00B034BF"/>
    <w:rsid w:val="00B10C20"/>
    <w:rsid w:val="00B17271"/>
    <w:rsid w:val="00B37253"/>
    <w:rsid w:val="00B40830"/>
    <w:rsid w:val="00B51D87"/>
    <w:rsid w:val="00B9383F"/>
    <w:rsid w:val="00BB1241"/>
    <w:rsid w:val="00BE2F5A"/>
    <w:rsid w:val="00BF7EAC"/>
    <w:rsid w:val="00C30297"/>
    <w:rsid w:val="00C42AC8"/>
    <w:rsid w:val="00C52BA8"/>
    <w:rsid w:val="00C571A3"/>
    <w:rsid w:val="00C65DB5"/>
    <w:rsid w:val="00C6666B"/>
    <w:rsid w:val="00C854E5"/>
    <w:rsid w:val="00CA1FD6"/>
    <w:rsid w:val="00CB739B"/>
    <w:rsid w:val="00CC79DA"/>
    <w:rsid w:val="00CE0713"/>
    <w:rsid w:val="00CE134D"/>
    <w:rsid w:val="00CF4EE7"/>
    <w:rsid w:val="00D003A2"/>
    <w:rsid w:val="00D0077D"/>
    <w:rsid w:val="00D03A0E"/>
    <w:rsid w:val="00D05345"/>
    <w:rsid w:val="00D211C6"/>
    <w:rsid w:val="00D368E1"/>
    <w:rsid w:val="00D52CD5"/>
    <w:rsid w:val="00D61DED"/>
    <w:rsid w:val="00D71DD4"/>
    <w:rsid w:val="00D72006"/>
    <w:rsid w:val="00D72129"/>
    <w:rsid w:val="00D7440D"/>
    <w:rsid w:val="00D87C58"/>
    <w:rsid w:val="00D9692E"/>
    <w:rsid w:val="00DA2D83"/>
    <w:rsid w:val="00E046C4"/>
    <w:rsid w:val="00E101DF"/>
    <w:rsid w:val="00E12F8D"/>
    <w:rsid w:val="00E16D2E"/>
    <w:rsid w:val="00E60A85"/>
    <w:rsid w:val="00E64BDC"/>
    <w:rsid w:val="00E70A7E"/>
    <w:rsid w:val="00E8001C"/>
    <w:rsid w:val="00E82C5B"/>
    <w:rsid w:val="00E9063B"/>
    <w:rsid w:val="00E91E7C"/>
    <w:rsid w:val="00EB107C"/>
    <w:rsid w:val="00EC23C0"/>
    <w:rsid w:val="00ED02E7"/>
    <w:rsid w:val="00EE0F25"/>
    <w:rsid w:val="00EE4FC8"/>
    <w:rsid w:val="00F12D05"/>
    <w:rsid w:val="00F30C7E"/>
    <w:rsid w:val="00F87B4D"/>
    <w:rsid w:val="00F921CD"/>
    <w:rsid w:val="00FA5661"/>
    <w:rsid w:val="00FA7D3F"/>
    <w:rsid w:val="00FD09B9"/>
    <w:rsid w:val="00FE00F8"/>
    <w:rsid w:val="00FE3504"/>
    <w:rsid w:val="00FE4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15:docId w15:val="{02095C7C-7813-4C3E-8927-7F36076C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4142"/>
    <w:pPr>
      <w:autoSpaceDE w:val="0"/>
      <w:autoSpaceDN w:val="0"/>
      <w:spacing w:before="240" w:after="240" w:line="288" w:lineRule="auto"/>
      <w:jc w:val="both"/>
    </w:pPr>
    <w:rPr>
      <w:rFonts w:ascii="Calibri" w:hAnsi="Calibri" w:cs="Calibri"/>
      <w:sz w:val="23"/>
    </w:rPr>
  </w:style>
  <w:style w:type="paragraph" w:styleId="berschrift1">
    <w:name w:val="heading 1"/>
    <w:basedOn w:val="Standard"/>
    <w:next w:val="Standard"/>
    <w:link w:val="berschrift1Zchn"/>
    <w:uiPriority w:val="99"/>
    <w:qFormat/>
    <w:rsid w:val="004F7C3A"/>
    <w:pPr>
      <w:keepNext/>
      <w:keepLines/>
      <w:numPr>
        <w:numId w:val="6"/>
      </w:numPr>
      <w:spacing w:before="360" w:after="120"/>
      <w:ind w:left="714" w:hanging="357"/>
      <w:outlineLvl w:val="0"/>
    </w:pPr>
    <w:rPr>
      <w:rFonts w:ascii="Cambria" w:hAnsi="Cambria" w:cs="Cambria"/>
      <w:b/>
      <w:bCs/>
      <w:sz w:val="24"/>
      <w:szCs w:val="28"/>
      <w:u w:val="single"/>
    </w:rPr>
  </w:style>
  <w:style w:type="paragraph" w:styleId="berschrift2">
    <w:name w:val="heading 2"/>
    <w:basedOn w:val="Standard"/>
    <w:next w:val="Standard"/>
    <w:link w:val="berschrift2Zchn"/>
    <w:uiPriority w:val="9"/>
    <w:semiHidden/>
    <w:unhideWhenUsed/>
    <w:qFormat/>
    <w:rsid w:val="00507571"/>
    <w:pPr>
      <w:keepNext/>
      <w:keepLines/>
      <w:numPr>
        <w:numId w:val="1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F7C3A"/>
    <w:rPr>
      <w:rFonts w:ascii="Cambria" w:hAnsi="Cambria" w:cs="Cambria"/>
      <w:b/>
      <w:bCs/>
      <w:sz w:val="24"/>
      <w:szCs w:val="28"/>
      <w:u w:val="single"/>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bsender1">
    <w:name w:val="Absender1"/>
    <w:basedOn w:val="Textkrper"/>
    <w:uiPriority w:val="99"/>
    <w:pPr>
      <w:spacing w:line="240" w:lineRule="auto"/>
      <w:ind w:right="-463"/>
    </w:pPr>
    <w:rPr>
      <w:rFonts w:ascii="Arial" w:hAnsi="Arial" w:cs="Arial"/>
      <w:b/>
      <w:bC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character" w:customStyle="1" w:styleId="gldsymbol">
    <w:name w:val="gldsymbol"/>
    <w:basedOn w:val="Absatz-Standardschriftart"/>
    <w:rsid w:val="000D463E"/>
    <w:rPr>
      <w:b/>
      <w:bCs/>
    </w:rPr>
  </w:style>
  <w:style w:type="character" w:styleId="Kommentarzeichen">
    <w:name w:val="annotation reference"/>
    <w:basedOn w:val="Absatz-Standardschriftart"/>
    <w:uiPriority w:val="99"/>
    <w:semiHidden/>
    <w:unhideWhenUsed/>
    <w:rsid w:val="008F088B"/>
    <w:rPr>
      <w:sz w:val="16"/>
      <w:szCs w:val="16"/>
    </w:rPr>
  </w:style>
  <w:style w:type="paragraph" w:styleId="Kommentartext">
    <w:name w:val="annotation text"/>
    <w:basedOn w:val="Standard"/>
    <w:link w:val="KommentartextZchn"/>
    <w:uiPriority w:val="99"/>
    <w:unhideWhenUsed/>
    <w:rsid w:val="008F088B"/>
    <w:pPr>
      <w:spacing w:line="240" w:lineRule="auto"/>
    </w:pPr>
    <w:rPr>
      <w:sz w:val="20"/>
      <w:szCs w:val="20"/>
    </w:rPr>
  </w:style>
  <w:style w:type="character" w:customStyle="1" w:styleId="KommentartextZchn">
    <w:name w:val="Kommentartext Zchn"/>
    <w:basedOn w:val="Absatz-Standardschriftart"/>
    <w:link w:val="Kommentartext"/>
    <w:uiPriority w:val="99"/>
    <w:rsid w:val="008F088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F088B"/>
    <w:rPr>
      <w:b/>
      <w:bCs/>
    </w:rPr>
  </w:style>
  <w:style w:type="character" w:customStyle="1" w:styleId="KommentarthemaZchn">
    <w:name w:val="Kommentarthema Zchn"/>
    <w:basedOn w:val="KommentartextZchn"/>
    <w:link w:val="Kommentarthema"/>
    <w:uiPriority w:val="99"/>
    <w:semiHidden/>
    <w:rsid w:val="008F088B"/>
    <w:rPr>
      <w:rFonts w:ascii="Calibri" w:hAnsi="Calibri" w:cs="Calibri"/>
      <w:b/>
      <w:bCs/>
      <w:sz w:val="20"/>
      <w:szCs w:val="20"/>
    </w:rPr>
  </w:style>
  <w:style w:type="character" w:customStyle="1" w:styleId="berschrift2Zchn">
    <w:name w:val="Überschrift 2 Zchn"/>
    <w:basedOn w:val="Absatz-Standardschriftart"/>
    <w:link w:val="berschrift2"/>
    <w:uiPriority w:val="9"/>
    <w:semiHidden/>
    <w:rsid w:val="00507571"/>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2453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elZchn">
    <w:name w:val="Titel Zchn"/>
    <w:basedOn w:val="Absatz-Standardschriftart"/>
    <w:link w:val="Titel"/>
    <w:uiPriority w:val="10"/>
    <w:rsid w:val="002453D1"/>
    <w:rPr>
      <w:rFonts w:asciiTheme="majorHAnsi" w:eastAsiaTheme="majorEastAsia" w:hAnsiTheme="majorHAnsi" w:cstheme="majorBidi"/>
      <w:color w:val="17365D" w:themeColor="text2" w:themeShade="BF"/>
      <w:spacing w:val="5"/>
      <w:kern w:val="28"/>
      <w:sz w:val="28"/>
      <w:szCs w:val="52"/>
    </w:rPr>
  </w:style>
  <w:style w:type="character" w:styleId="Hyperlink">
    <w:name w:val="Hyperlink"/>
    <w:basedOn w:val="Absatz-Standardschriftart"/>
    <w:uiPriority w:val="99"/>
    <w:unhideWhenUsed/>
    <w:rsid w:val="00C571A3"/>
    <w:rPr>
      <w:color w:val="0000FF" w:themeColor="hyperlink"/>
      <w:u w:val="single"/>
    </w:rPr>
  </w:style>
  <w:style w:type="character" w:customStyle="1" w:styleId="st1">
    <w:name w:val="st1"/>
    <w:basedOn w:val="Absatz-Standardschriftart"/>
    <w:rsid w:val="0044378E"/>
  </w:style>
  <w:style w:type="paragraph" w:styleId="StandardWeb">
    <w:name w:val="Normal (Web)"/>
    <w:basedOn w:val="Standard"/>
    <w:uiPriority w:val="99"/>
    <w:unhideWhenUsed/>
    <w:rsid w:val="009B67A7"/>
    <w:pPr>
      <w:autoSpaceDE/>
      <w:autoSpaceDN/>
      <w:spacing w:before="100" w:beforeAutospacing="1" w:after="100" w:afterAutospacing="1" w:line="240" w:lineRule="auto"/>
    </w:pPr>
    <w:rPr>
      <w:rFonts w:ascii="Times New Roman" w:eastAsia="Times New Roman" w:hAnsi="Times New Roman" w:cs="Times New Roman"/>
      <w:sz w:val="24"/>
      <w:szCs w:val="24"/>
    </w:rPr>
  </w:style>
  <w:style w:type="character" w:styleId="HTMLAkronym">
    <w:name w:val="HTML Acronym"/>
    <w:basedOn w:val="Absatz-Standardschriftart"/>
    <w:uiPriority w:val="99"/>
    <w:semiHidden/>
    <w:unhideWhenUsed/>
    <w:rsid w:val="002D1DAD"/>
  </w:style>
  <w:style w:type="paragraph" w:styleId="NurText">
    <w:name w:val="Plain Text"/>
    <w:basedOn w:val="Standard"/>
    <w:link w:val="NurTextZchn"/>
    <w:uiPriority w:val="99"/>
    <w:semiHidden/>
    <w:unhideWhenUsed/>
    <w:rsid w:val="00B17271"/>
    <w:pPr>
      <w:autoSpaceDE/>
      <w:autoSpaceDN/>
      <w:spacing w:before="0" w:after="0" w:line="240" w:lineRule="auto"/>
      <w:jc w:val="left"/>
    </w:pPr>
    <w:rPr>
      <w:rFonts w:ascii="Arial" w:eastAsiaTheme="minorHAnsi" w:hAnsi="Arial" w:cs="Arial"/>
      <w:sz w:val="24"/>
      <w:szCs w:val="24"/>
      <w:lang w:eastAsia="en-US"/>
    </w:rPr>
  </w:style>
  <w:style w:type="character" w:customStyle="1" w:styleId="NurTextZchn">
    <w:name w:val="Nur Text Zchn"/>
    <w:basedOn w:val="Absatz-Standardschriftart"/>
    <w:link w:val="NurText"/>
    <w:uiPriority w:val="99"/>
    <w:semiHidden/>
    <w:rsid w:val="00B17271"/>
    <w:rPr>
      <w:rFonts w:ascii="Arial" w:eastAsiaTheme="minorHAnsi" w:hAnsi="Arial" w:cs="Arial"/>
      <w:sz w:val="24"/>
      <w:szCs w:val="24"/>
      <w:lang w:eastAsia="en-US"/>
    </w:rPr>
  </w:style>
  <w:style w:type="paragraph" w:customStyle="1" w:styleId="Default">
    <w:name w:val="Default"/>
    <w:rsid w:val="00624A1A"/>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semiHidden/>
    <w:unhideWhenUsed/>
    <w:rsid w:val="00624A1A"/>
    <w:pPr>
      <w:autoSpaceDE/>
      <w:autoSpaceDN/>
      <w:spacing w:before="0" w:after="0" w:line="240" w:lineRule="auto"/>
    </w:pPr>
    <w:rPr>
      <w:rFonts w:ascii="Arial" w:eastAsiaTheme="minorHAnsi" w:hAnsi="Arial" w:cstheme="minorBidi"/>
      <w:sz w:val="20"/>
      <w:szCs w:val="20"/>
      <w:lang w:eastAsia="en-US"/>
    </w:rPr>
  </w:style>
  <w:style w:type="character" w:customStyle="1" w:styleId="FunotentextZchn">
    <w:name w:val="Fußnotentext Zchn"/>
    <w:basedOn w:val="Absatz-Standardschriftart"/>
    <w:link w:val="Funotentext"/>
    <w:uiPriority w:val="99"/>
    <w:semiHidden/>
    <w:rsid w:val="00624A1A"/>
    <w:rPr>
      <w:rFonts w:ascii="Arial" w:eastAsiaTheme="minorHAnsi" w:hAnsi="Arial"/>
      <w:sz w:val="20"/>
      <w:szCs w:val="20"/>
      <w:lang w:eastAsia="en-US"/>
    </w:rPr>
  </w:style>
  <w:style w:type="character" w:styleId="Funotenzeichen">
    <w:name w:val="footnote reference"/>
    <w:basedOn w:val="Absatz-Standardschriftart"/>
    <w:uiPriority w:val="99"/>
    <w:semiHidden/>
    <w:unhideWhenUsed/>
    <w:rsid w:val="00624A1A"/>
    <w:rPr>
      <w:vertAlign w:val="superscript"/>
    </w:rPr>
  </w:style>
  <w:style w:type="character" w:styleId="BesuchterHyperlink">
    <w:name w:val="FollowedHyperlink"/>
    <w:basedOn w:val="Absatz-Standardschriftart"/>
    <w:uiPriority w:val="99"/>
    <w:semiHidden/>
    <w:unhideWhenUsed/>
    <w:rsid w:val="00B034BF"/>
    <w:rPr>
      <w:color w:val="800080" w:themeColor="followedHyperlink"/>
      <w:u w:val="single"/>
    </w:rPr>
  </w:style>
  <w:style w:type="paragraph" w:customStyle="1" w:styleId="Pa35">
    <w:name w:val="Pa35"/>
    <w:basedOn w:val="Default"/>
    <w:next w:val="Default"/>
    <w:uiPriority w:val="99"/>
    <w:rsid w:val="00C854E5"/>
    <w:pPr>
      <w:spacing w:line="201" w:lineRule="atLeast"/>
    </w:pPr>
    <w:rPr>
      <w:rFonts w:ascii="Times New Roman" w:eastAsiaTheme="minorEastAsia" w:hAnsi="Times New Roman" w:cs="Times New Roman"/>
      <w:color w:val="auto"/>
      <w:lang w:eastAsia="de-DE"/>
    </w:rPr>
  </w:style>
  <w:style w:type="paragraph" w:customStyle="1" w:styleId="Pa28">
    <w:name w:val="Pa28"/>
    <w:basedOn w:val="Default"/>
    <w:next w:val="Default"/>
    <w:uiPriority w:val="99"/>
    <w:rsid w:val="00C854E5"/>
    <w:pPr>
      <w:spacing w:line="201" w:lineRule="atLeast"/>
    </w:pPr>
    <w:rPr>
      <w:rFonts w:ascii="Times New Roman" w:eastAsiaTheme="minorEastAsia" w:hAnsi="Times New Roman" w:cs="Times New Roman"/>
      <w:color w:val="auto"/>
      <w:lang w:eastAsia="de-DE"/>
    </w:rPr>
  </w:style>
  <w:style w:type="character" w:styleId="Hervorhebung">
    <w:name w:val="Emphasis"/>
    <w:basedOn w:val="Absatz-Standardschriftart"/>
    <w:uiPriority w:val="20"/>
    <w:qFormat/>
    <w:rsid w:val="007A25A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08473">
      <w:bodyDiv w:val="1"/>
      <w:marLeft w:val="0"/>
      <w:marRight w:val="0"/>
      <w:marTop w:val="0"/>
      <w:marBottom w:val="0"/>
      <w:divBdr>
        <w:top w:val="none" w:sz="0" w:space="0" w:color="auto"/>
        <w:left w:val="none" w:sz="0" w:space="0" w:color="auto"/>
        <w:bottom w:val="none" w:sz="0" w:space="0" w:color="auto"/>
        <w:right w:val="none" w:sz="0" w:space="0" w:color="auto"/>
      </w:divBdr>
    </w:div>
    <w:div w:id="716860014">
      <w:bodyDiv w:val="1"/>
      <w:marLeft w:val="0"/>
      <w:marRight w:val="0"/>
      <w:marTop w:val="0"/>
      <w:marBottom w:val="0"/>
      <w:divBdr>
        <w:top w:val="none" w:sz="0" w:space="0" w:color="auto"/>
        <w:left w:val="none" w:sz="0" w:space="0" w:color="auto"/>
        <w:bottom w:val="none" w:sz="0" w:space="0" w:color="auto"/>
        <w:right w:val="none" w:sz="0" w:space="0" w:color="auto"/>
      </w:divBdr>
      <w:divsChild>
        <w:div w:id="107162228">
          <w:marLeft w:val="0"/>
          <w:marRight w:val="0"/>
          <w:marTop w:val="0"/>
          <w:marBottom w:val="240"/>
          <w:divBdr>
            <w:top w:val="none" w:sz="0" w:space="0" w:color="auto"/>
            <w:left w:val="none" w:sz="0" w:space="0" w:color="auto"/>
            <w:bottom w:val="none" w:sz="0" w:space="0" w:color="auto"/>
            <w:right w:val="none" w:sz="0" w:space="0" w:color="auto"/>
          </w:divBdr>
        </w:div>
      </w:divsChild>
    </w:div>
    <w:div w:id="1562789513">
      <w:bodyDiv w:val="1"/>
      <w:marLeft w:val="0"/>
      <w:marRight w:val="0"/>
      <w:marTop w:val="0"/>
      <w:marBottom w:val="0"/>
      <w:divBdr>
        <w:top w:val="none" w:sz="0" w:space="0" w:color="auto"/>
        <w:left w:val="none" w:sz="0" w:space="0" w:color="auto"/>
        <w:bottom w:val="none" w:sz="0" w:space="0" w:color="auto"/>
        <w:right w:val="none" w:sz="0" w:space="0" w:color="auto"/>
      </w:divBdr>
      <w:divsChild>
        <w:div w:id="745689783">
          <w:marLeft w:val="0"/>
          <w:marRight w:val="0"/>
          <w:marTop w:val="0"/>
          <w:marBottom w:val="0"/>
          <w:divBdr>
            <w:top w:val="none" w:sz="0" w:space="0" w:color="auto"/>
            <w:left w:val="none" w:sz="0" w:space="0" w:color="auto"/>
            <w:bottom w:val="none" w:sz="0" w:space="0" w:color="auto"/>
            <w:right w:val="none" w:sz="0" w:space="0" w:color="auto"/>
          </w:divBdr>
          <w:divsChild>
            <w:div w:id="379524315">
              <w:marLeft w:val="0"/>
              <w:marRight w:val="0"/>
              <w:marTop w:val="0"/>
              <w:marBottom w:val="0"/>
              <w:divBdr>
                <w:top w:val="none" w:sz="0" w:space="0" w:color="auto"/>
                <w:left w:val="none" w:sz="0" w:space="0" w:color="auto"/>
                <w:bottom w:val="none" w:sz="0" w:space="0" w:color="auto"/>
                <w:right w:val="none" w:sz="0" w:space="0" w:color="auto"/>
              </w:divBdr>
              <w:divsChild>
                <w:div w:id="608508964">
                  <w:marLeft w:val="0"/>
                  <w:marRight w:val="0"/>
                  <w:marTop w:val="120"/>
                  <w:marBottom w:val="0"/>
                  <w:divBdr>
                    <w:top w:val="none" w:sz="0" w:space="0" w:color="auto"/>
                    <w:left w:val="none" w:sz="0" w:space="0" w:color="auto"/>
                    <w:bottom w:val="none" w:sz="0" w:space="0" w:color="auto"/>
                    <w:right w:val="none" w:sz="0" w:space="0" w:color="auto"/>
                  </w:divBdr>
                  <w:divsChild>
                    <w:div w:id="649598401">
                      <w:marLeft w:val="0"/>
                      <w:marRight w:val="0"/>
                      <w:marTop w:val="0"/>
                      <w:marBottom w:val="0"/>
                      <w:divBdr>
                        <w:top w:val="none" w:sz="0" w:space="0" w:color="auto"/>
                        <w:left w:val="none" w:sz="0" w:space="0" w:color="auto"/>
                        <w:bottom w:val="none" w:sz="0" w:space="0" w:color="auto"/>
                        <w:right w:val="none" w:sz="0" w:space="0" w:color="auto"/>
                      </w:divBdr>
                      <w:divsChild>
                        <w:div w:id="1956715212">
                          <w:marLeft w:val="0"/>
                          <w:marRight w:val="0"/>
                          <w:marTop w:val="240"/>
                          <w:marBottom w:val="0"/>
                          <w:divBdr>
                            <w:top w:val="none" w:sz="0" w:space="0" w:color="auto"/>
                            <w:left w:val="none" w:sz="0" w:space="0" w:color="auto"/>
                            <w:bottom w:val="none" w:sz="0" w:space="0" w:color="auto"/>
                            <w:right w:val="none" w:sz="0" w:space="0" w:color="auto"/>
                          </w:divBdr>
                          <w:divsChild>
                            <w:div w:id="215166191">
                              <w:marLeft w:val="0"/>
                              <w:marRight w:val="0"/>
                              <w:marTop w:val="0"/>
                              <w:marBottom w:val="0"/>
                              <w:divBdr>
                                <w:top w:val="none" w:sz="0" w:space="0" w:color="auto"/>
                                <w:left w:val="none" w:sz="0" w:space="0" w:color="auto"/>
                                <w:bottom w:val="none" w:sz="0" w:space="0" w:color="auto"/>
                                <w:right w:val="none" w:sz="0" w:space="0" w:color="auto"/>
                              </w:divBdr>
                              <w:divsChild>
                                <w:div w:id="163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eutscher-behindertenrat.de/mime/00087477D1425293851.pdf" TargetMode="External"/><Relationship Id="rId1" Type="http://schemas.openxmlformats.org/officeDocument/2006/relationships/hyperlink" Target="https://www.deutscher-behindertenrat.de/ID255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C919-2CDF-451E-8893-938B3B32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12917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DBR-Forderungspapier AGG im Interesse von Menschen mit Behinderungen teilhabeorientiert weiterentwickeln</vt:lpstr>
    </vt:vector>
  </TitlesOfParts>
  <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DBR-Forderungspapier AGG im Interesse von Menschen mit Behinderungen teilhabeorientiert weiterentwickeln</dc:title>
  <dc:creator>Deutscher Behindertenrat (DBR)</dc:creator>
  <cp:lastModifiedBy>Dorothee Czennia</cp:lastModifiedBy>
  <cp:revision>2</cp:revision>
  <cp:lastPrinted>2020-11-05T09:00:00Z</cp:lastPrinted>
  <dcterms:created xsi:type="dcterms:W3CDTF">2020-11-25T14:46:00Z</dcterms:created>
  <dcterms:modified xsi:type="dcterms:W3CDTF">2020-11-25T14:46:00Z</dcterms:modified>
</cp:coreProperties>
</file>